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A7F2B5" w14:textId="77777777" w:rsidR="004C2836" w:rsidRDefault="00000000">
      <w:pPr>
        <w:spacing w:before="2400" w:after="240"/>
        <w:jc w:val="center"/>
      </w:pPr>
      <w:r>
        <w:rPr>
          <w:b/>
          <w:bCs/>
          <w:color w:val="1F3864"/>
          <w:sz w:val="40"/>
          <w:szCs w:val="40"/>
        </w:rPr>
        <w:t>Veldobservaties en gebruikerservaringen met Immutines™ bij melkvee</w:t>
      </w:r>
    </w:p>
    <w:p w14:paraId="20A7F2B6" w14:textId="77777777" w:rsidR="004C2836" w:rsidRDefault="00000000">
      <w:pPr>
        <w:spacing w:after="600"/>
        <w:jc w:val="center"/>
      </w:pPr>
      <w:r>
        <w:rPr>
          <w:i/>
          <w:iCs/>
          <w:sz w:val="26"/>
          <w:szCs w:val="26"/>
        </w:rPr>
        <w:t>Een verkennend praktijkrapport op basis van twintig jaar observaties bij uitsluitend probleembedrijven</w:t>
      </w:r>
    </w:p>
    <w:p w14:paraId="20A7F2B7" w14:textId="77777777" w:rsidR="004C2836" w:rsidRDefault="00000000">
      <w:pPr>
        <w:spacing w:after="80"/>
        <w:jc w:val="center"/>
      </w:pPr>
      <w:r>
        <w:rPr>
          <w:b/>
          <w:bCs/>
          <w:sz w:val="24"/>
          <w:szCs w:val="24"/>
        </w:rPr>
        <w:t>H. Heida</w:t>
      </w:r>
    </w:p>
    <w:p w14:paraId="20A7F2B8" w14:textId="77777777" w:rsidR="004C2836" w:rsidRDefault="00000000">
      <w:pPr>
        <w:spacing w:after="80"/>
        <w:jc w:val="center"/>
      </w:pPr>
      <w:r>
        <w:rPr>
          <w:sz w:val="24"/>
          <w:szCs w:val="24"/>
        </w:rPr>
        <w:t>Koolstofkring BV</w:t>
      </w:r>
    </w:p>
    <w:p w14:paraId="20A7F2B9" w14:textId="77777777" w:rsidR="004C2836" w:rsidRDefault="00000000">
      <w:pPr>
        <w:jc w:val="center"/>
      </w:pPr>
      <w:r>
        <w:rPr>
          <w:sz w:val="24"/>
          <w:szCs w:val="24"/>
        </w:rPr>
        <w:t>16 september 2026</w:t>
      </w:r>
    </w:p>
    <w:p w14:paraId="20A7F2BA" w14:textId="77777777" w:rsidR="004C2836" w:rsidRDefault="00000000">
      <w:r>
        <w:br w:type="page"/>
      </w:r>
    </w:p>
    <w:p w14:paraId="20A7F2BB" w14:textId="77777777" w:rsidR="004C2836" w:rsidRDefault="00000000">
      <w:pPr>
        <w:pStyle w:val="Kop1"/>
      </w:pPr>
      <w:r>
        <w:lastRenderedPageBreak/>
        <w:t>Samenvatting</w:t>
      </w:r>
    </w:p>
    <w:p w14:paraId="20A7F2BC" w14:textId="03B27D34" w:rsidR="004C2836" w:rsidRDefault="00000000">
      <w:pPr>
        <w:spacing w:after="140" w:line="276" w:lineRule="auto"/>
        <w:jc w:val="both"/>
      </w:pPr>
      <w:r>
        <w:t xml:space="preserve">Dit rapport bundelt twintig jaar aan veldwaarnemingen en klantmeldingen rondom het gebruik van Immutines™, een zeewaterconcentraat, </w:t>
      </w:r>
      <w:r w:rsidR="0097259F">
        <w:t xml:space="preserve">voor onder andere </w:t>
      </w:r>
      <w:r>
        <w:t xml:space="preserve"> melkvee. De centrale werkhypothese is dat de aanwezige micro-elementen de opname van macro-elementen — met name magnesium (Mg), kalium (K), calcium (Ca) en fosfor (P) — bevorderen. Herhaaldelijk gerapporteerde effecten betreffen vruchtbaarheid (tochtigheid), sneller en vollediger baarmoederherstel na afkalven (minder curettage door de dierenarts), verbeterde haarkleedkwaliteit (glans, scherpere kleurcontrasten), hardere hoeven, en een verhoogde voeropname van maïs na besproeiing met het product. Daarnaast wordt een specifiek doseringsprotocol beschreven (1</w:t>
      </w:r>
      <w:r w:rsidR="008D1EFC">
        <w:t>3</w:t>
      </w:r>
      <w:r>
        <w:t xml:space="preserve"> ml Immutines™ plus 200 gram Impactpoeder</w:t>
      </w:r>
      <w:r w:rsidR="006510F1">
        <w:t xml:space="preserve"> Koolstof</w:t>
      </w:r>
      <w:r>
        <w:t>) dat bij boterzuurproblematiek (Clostridium butyricum) binnen circa één week verbetering laat zien. Ook bij Clostridium botulinum en Clostridium perfringens lukt het vaak om verbetering te realiseren, zij het met wisselend succes, en in combinatie met melkzuurbacteriën lijkt ook Salmonella-problematiek te verminderen.</w:t>
      </w:r>
    </w:p>
    <w:p w14:paraId="20A7F2BD" w14:textId="77777777" w:rsidR="004C2836" w:rsidRDefault="00000000">
      <w:pPr>
        <w:spacing w:after="140" w:line="276" w:lineRule="auto"/>
        <w:jc w:val="both"/>
      </w:pPr>
      <w:r>
        <w:t>Aanvullend beschrijft dit rapport dat Koolstofkring BV geconstateerde mineraalproblemen niet uitsluitend met Immutines™ aanpakt, maar ook met koolstof (kleimineralen), en plaatst het de praktijkervaring in de bredere context van de Nederlandse mineralenvoorziening. Ondanks een lage Immutines™-dosering (13 ml) als voeradditief worden bij GD-mineralenonderzoek bij klanten van Koolstofkring BV zelden gebreken vastgesteld, terwijl de eigen ruwvoeranalyses van diezelfde bedrijven steeds vaker tekorten aan selenium, koper, kobalt en calcium laten zien. Dit is een landelijk erkend probleem dat samenhangt met eenzijdige bemesting, mineraalafvoer via mest, en een gebrek aan kennis over de opneembaarheid van verschillende mineraalvormen (bijvoorbeeld magnesiumoxide versus magnesiumchloride of -citraat).</w:t>
      </w:r>
    </w:p>
    <w:p w14:paraId="20A7F2BE" w14:textId="77777777" w:rsidR="004C2836" w:rsidRDefault="00000000">
      <w:pPr>
        <w:spacing w:after="140" w:line="276" w:lineRule="auto"/>
        <w:jc w:val="both"/>
      </w:pPr>
      <w:r>
        <w:rPr>
          <w:i/>
          <w:iCs/>
        </w:rPr>
        <w:t>Dit rapport is uitdrukkelijk geen empirisch bewijs in de wetenschappelijke zin van het woord. De onderliggende data zijn niet verzameld met een controlegroep, randomisatie of blindering, en zijn uitsluitend afkomstig van bedrijven die zich meldden met een probleem — een fundamentele selectiebias die in de Discussie nader wordt toegelicht. Het rapport dient als gestructureerde weergave van praktijkkennis en als basis voor het formuleren van toetsbare hypothesen voor toekomstig gecontroleerd onderzoek.</w:t>
      </w:r>
    </w:p>
    <w:p w14:paraId="20A7F2BF" w14:textId="77777777" w:rsidR="004C2836" w:rsidRDefault="00000000">
      <w:pPr>
        <w:pStyle w:val="Kop1"/>
      </w:pPr>
      <w:r>
        <w:t>Inhoudsopgave</w:t>
      </w:r>
    </w:p>
    <w:p w14:paraId="20A7F2C0" w14:textId="77777777" w:rsidR="004C2836" w:rsidRDefault="00000000">
      <w:pPr>
        <w:spacing w:after="60"/>
      </w:pPr>
      <w:r>
        <w:t>1. Inleiding en achtergrond</w:t>
      </w:r>
    </w:p>
    <w:p w14:paraId="20A7F2C1" w14:textId="77777777" w:rsidR="004C2836" w:rsidRDefault="00000000">
      <w:pPr>
        <w:spacing w:after="60"/>
      </w:pPr>
      <w:r>
        <w:t>2. Methode en gegevensbasis — 20 jaar, uitsluitend probleembedrijven</w:t>
      </w:r>
    </w:p>
    <w:p w14:paraId="20A7F2C2" w14:textId="77777777" w:rsidR="004C2836" w:rsidRDefault="00000000">
      <w:pPr>
        <w:spacing w:after="60"/>
      </w:pPr>
      <w:r>
        <w:t>3. Bevindingen per thema (incl. 3.8 koolstof/kleimineralen en de bredere mineralenproblematiek)</w:t>
      </w:r>
    </w:p>
    <w:p w14:paraId="20A7F2C3" w14:textId="77777777" w:rsidR="004C2836" w:rsidRDefault="00000000">
      <w:pPr>
        <w:spacing w:after="60"/>
      </w:pPr>
      <w:r>
        <w:t>4. Het contact met dr. ir. Jan Dijkstra (Wageningen University &amp; Research)</w:t>
      </w:r>
    </w:p>
    <w:p w14:paraId="20A7F2C4" w14:textId="77777777" w:rsidR="004C2836" w:rsidRDefault="00000000">
      <w:pPr>
        <w:spacing w:after="60"/>
      </w:pPr>
      <w:r>
        <w:t>5. Discussie: plausibiliteit, beperkingen en selectiebias</w:t>
      </w:r>
    </w:p>
    <w:p w14:paraId="20A7F2C5" w14:textId="77777777" w:rsidR="004C2836" w:rsidRDefault="00000000">
      <w:pPr>
        <w:spacing w:after="60"/>
      </w:pPr>
      <w:r>
        <w:t>6. Disclaimer en verantwoord gebruik</w:t>
      </w:r>
    </w:p>
    <w:p w14:paraId="20A7F2C6" w14:textId="77777777" w:rsidR="004C2836" w:rsidRDefault="00000000">
      <w:pPr>
        <w:spacing w:after="60"/>
      </w:pPr>
      <w:r>
        <w:t>7. Aanbevelingen voor vervolgonderzoek</w:t>
      </w:r>
    </w:p>
    <w:p w14:paraId="20A7F2C7" w14:textId="77777777" w:rsidR="004C2836" w:rsidRDefault="00000000">
      <w:pPr>
        <w:spacing w:after="60"/>
      </w:pPr>
      <w:r>
        <w:t>8. Referenties</w:t>
      </w:r>
    </w:p>
    <w:p w14:paraId="20A7F2C8" w14:textId="77777777" w:rsidR="004C2836" w:rsidRDefault="00000000">
      <w:r>
        <w:br w:type="page"/>
      </w:r>
    </w:p>
    <w:p w14:paraId="20A7F2C9" w14:textId="77777777" w:rsidR="004C2836" w:rsidRDefault="00000000">
      <w:pPr>
        <w:pStyle w:val="Kop1"/>
      </w:pPr>
      <w:r>
        <w:lastRenderedPageBreak/>
        <w:t>1. Inleiding en achtergrond</w:t>
      </w:r>
    </w:p>
    <w:p w14:paraId="20A7F2CA" w14:textId="77777777" w:rsidR="004C2836" w:rsidRDefault="00000000">
      <w:pPr>
        <w:spacing w:after="140" w:line="276" w:lineRule="auto"/>
        <w:jc w:val="both"/>
      </w:pPr>
      <w:r>
        <w:t>Koolstofkring BV brengt Immutines™ op de markt, een concentraat op basis van zeewater dat een breed spectrum aan mineralen bevat — volgens interne analyse circa 89 elementen, waaronder een reeks micro-elementen (spoorelementen) naast de bekende macro-elementen. De werkhypothese die binnen het bedrijf en op basis van klantsignalen is ontstaan, is dat de aanwezige micro-elementen als co-factor of transportbevorderaar werken voor de opname van macro-elementen, in het bijzonder magnesium, kalium, calcium en fosfor.</w:t>
      </w:r>
    </w:p>
    <w:p w14:paraId="20A7F2CB" w14:textId="77777777" w:rsidR="004C2836" w:rsidRDefault="00000000">
      <w:pPr>
        <w:spacing w:after="140" w:line="276" w:lineRule="auto"/>
        <w:jc w:val="both"/>
      </w:pPr>
      <w:r>
        <w:t>Deze hypothese sluit aan bij een breder erkend principe in de rundveevoeding: macro- en micro-elementen staan niet los van elkaar, maar beïnvloeden elkaars beschikbaarheid en opname via antagonisme en synergie in het maagdarmkanaal. Zo is bijvoorbeeld gedocumenteerd dat een overmaat aan kalium de opname van magnesium remt, en dat de vorm waarin spoorelementen worden aangeboden (anorganisch versus organisch/hydroxy-gebonden) sterk bepalend is voor de uiteindelijke biologische beschikbaarheid van diezelfde spoorelementen in de dunne darm. De hierna beschreven verbeterde opname van macro-elementen door Immutines™ is intern getest via rectale metingen (fecale/rectale mineraalbepaling); dit is een praktijkgerichte meetmethode, geen gepubliceerd, peer-reviewed opnameonderzoek, en de resultaten moeten dan ook als indicatief worden gelezen.</w:t>
      </w:r>
    </w:p>
    <w:p w14:paraId="20A7F2CC" w14:textId="77777777" w:rsidR="004C2836" w:rsidRDefault="00000000">
      <w:pPr>
        <w:spacing w:after="140" w:line="276" w:lineRule="auto"/>
        <w:jc w:val="both"/>
      </w:pPr>
      <w:r>
        <w:t>Naast de mineraalopname-hypothese zijn er in de loop der jaren twee aanvullende toepassingslijnen ontstaan op basis van klantervaring: (a) verbeterde voeropname van ruwvoer (specifiek maïs) na besproeiing met Immutines™, en (b) een doseringsprotocol tegen boterzuurbacteriën (Clostridium-soorten) en Salmonella in combinatie met Impactpoeder en melkzuurbacteriën. Beide worden in hoofdstuk 3 beschreven.</w:t>
      </w:r>
    </w:p>
    <w:p w14:paraId="20A7F2CD" w14:textId="77777777" w:rsidR="004C2836" w:rsidRDefault="00000000">
      <w:pPr>
        <w:pStyle w:val="Kop1"/>
      </w:pPr>
      <w:r>
        <w:t>2. Methode en gegevensbasis — 20 jaar, uitsluitend probleembedrijven</w:t>
      </w:r>
    </w:p>
    <w:p w14:paraId="20A7F2CE" w14:textId="77777777" w:rsidR="004C2836" w:rsidRDefault="00000000">
      <w:pPr>
        <w:spacing w:after="140" w:line="276" w:lineRule="auto"/>
        <w:jc w:val="both"/>
      </w:pPr>
      <w:r>
        <w:t>De basis van dit rapport bestaat uit ongestructureerde en semi-gestructureerde terugkoppeling van klanten van Koolstofkring BV, verzameld over een periode van ongeveer twintig jaar. Deze terugkoppeling kwam via directe klantcontacten, telefonische en mondelinge meldingen, en observaties van derden die bij de bedrijven kwamen (dierenartsen, klauwverzorgers).</w:t>
      </w:r>
    </w:p>
    <w:p w14:paraId="20A7F2CF" w14:textId="77777777" w:rsidR="004C2836" w:rsidRDefault="00000000">
      <w:pPr>
        <w:pStyle w:val="Kop2"/>
      </w:pPr>
      <w:r>
        <w:t>2.1 Cruciale methodologische beperking: selectie van uitsluitend probleembedrijven</w:t>
      </w:r>
    </w:p>
    <w:p w14:paraId="20A7F2D0" w14:textId="77777777" w:rsidR="004C2836" w:rsidRDefault="00000000">
      <w:pPr>
        <w:spacing w:after="140" w:line="276" w:lineRule="auto"/>
        <w:jc w:val="both"/>
      </w:pPr>
      <w:r>
        <w:t>De bedrijven waarvan de waarnemingen in dit rapport afkomstig zijn, zijn vrijwel zonder uitzondering bedrijven die zich meldden omdat zij een probleem ervaarden — vruchtbaarheidsproblemen, boterzuur in het rantsoen, hoefproblemen, tegenvallende voeropname. Er is geen enkele vergelijking met bedrijven zonder problemen of met een aselecte steekproef van 'gemiddelde' bedrijven. Het aantal bedrijven dat over de jaren met de Koolstofkring-aanpak is behandeld, loopt overigens in de honderden.</w:t>
      </w:r>
    </w:p>
    <w:p w14:paraId="20A7F2D1" w14:textId="77777777" w:rsidR="004C2836" w:rsidRDefault="00000000">
      <w:pPr>
        <w:spacing w:after="140" w:line="276" w:lineRule="auto"/>
        <w:jc w:val="both"/>
      </w:pPr>
      <w:r>
        <w:t xml:space="preserve">Deze omvang is niet zonder betekenis: een groot, herhaald aantal onafhankelijke meldingen vergroot de kans dat een waargenomen patroon een reëel signaal weerspiegelt in plaats van toeval, en geeft de individuele veehouder een praktisch, voor hem relevant besluitvormingscriterium — de kosten-opbrengstverhouding op zijn eigen bedrijf. Dit compenseert echter niet voor het ontbreken van randomisatie, blindering en een controlegroep, die hieronder worden toegelicht: een groot aantal ongecontroleerde waarnemingen is methodologisch iets anders dan een klein aantal gecontroleerde, </w:t>
      </w:r>
      <w:r>
        <w:lastRenderedPageBreak/>
        <w:t>geblindeerde waarnemingen, en de twee laten zich niet simpelweg tegen elkaar afwegen als 'meer' of 'minder' bewijs. Beide hebben hun eigen waarde en hun eigen blinde vlek.</w:t>
      </w:r>
    </w:p>
    <w:p w14:paraId="20A7F2D2" w14:textId="77777777" w:rsidR="004C2836" w:rsidRDefault="00000000">
      <w:pPr>
        <w:spacing w:after="140" w:line="276" w:lineRule="auto"/>
        <w:jc w:val="both"/>
      </w:pPr>
      <w:r>
        <w:t>Dit is een fundamentele en niet te onderschatten bron van vertekening (selectiebias). Bedrijven met een probleem hebben per definitie meer ruimte voor verbetering (regressie naar het gemiddelde): een verbetering na een interventie op een probleembedrijf kan deels of geheel het natuurlijke verloop van het probleem weerspiegelen, onafhankelijk van de toegediende stof. Zonder een vergelijkbare, niet-behandelde controlegroep van even ernstige probleembedrijven kan geen causaal verband worden vastgesteld tussen toediening van Immutines™ en de waargenomen verbeteringen.</w:t>
      </w:r>
    </w:p>
    <w:p w14:paraId="20A7F2D3" w14:textId="77777777" w:rsidR="004C2836" w:rsidRDefault="00000000">
      <w:pPr>
        <w:spacing w:after="140" w:line="276" w:lineRule="auto"/>
        <w:jc w:val="both"/>
      </w:pPr>
      <w:r>
        <w:t>Andere methodologische kenmerken die van belang zijn voor de interpretatie van dit rapport:</w:t>
      </w:r>
    </w:p>
    <w:p w14:paraId="20A7F2D4" w14:textId="77777777" w:rsidR="004C2836" w:rsidRDefault="00000000">
      <w:pPr>
        <w:pStyle w:val="Lijstalinea"/>
        <w:numPr>
          <w:ilvl w:val="0"/>
          <w:numId w:val="2"/>
        </w:numPr>
        <w:spacing w:after="80" w:line="276" w:lineRule="auto"/>
        <w:jc w:val="both"/>
      </w:pPr>
      <w:r>
        <w:rPr>
          <w:b/>
          <w:bCs/>
        </w:rPr>
        <w:t xml:space="preserve">Geen randomisatie: </w:t>
      </w:r>
      <w:r>
        <w:t>bedrijven kozen zelf voor gebruik, vaak na advies van Koolstofkring BV of hun voerleverancier.</w:t>
      </w:r>
    </w:p>
    <w:p w14:paraId="20A7F2D5" w14:textId="77777777" w:rsidR="004C2836" w:rsidRDefault="00000000">
      <w:pPr>
        <w:pStyle w:val="Lijstalinea"/>
        <w:numPr>
          <w:ilvl w:val="0"/>
          <w:numId w:val="2"/>
        </w:numPr>
        <w:spacing w:after="80" w:line="276" w:lineRule="auto"/>
        <w:jc w:val="both"/>
      </w:pPr>
      <w:r>
        <w:rPr>
          <w:b/>
          <w:bCs/>
        </w:rPr>
        <w:t xml:space="preserve">Geen blindering: </w:t>
      </w:r>
      <w:r>
        <w:t>zowel veehouder, klauwverzorger als dierenarts wisten dat het product werd toegediend, wat verwachtingseffecten (bevestigingsbias) in de waarneming niet uitsluit.</w:t>
      </w:r>
    </w:p>
    <w:p w14:paraId="20A7F2D6" w14:textId="77777777" w:rsidR="004C2836" w:rsidRDefault="00000000">
      <w:pPr>
        <w:pStyle w:val="Lijstalinea"/>
        <w:numPr>
          <w:ilvl w:val="0"/>
          <w:numId w:val="2"/>
        </w:numPr>
        <w:spacing w:after="80" w:line="276" w:lineRule="auto"/>
        <w:jc w:val="both"/>
      </w:pPr>
      <w:r>
        <w:rPr>
          <w:b/>
          <w:bCs/>
        </w:rPr>
        <w:t xml:space="preserve">Geen systematische, vooraf vastgelegde uitkomstmaten: </w:t>
      </w:r>
      <w:r>
        <w:t>meldingen zijn spontaan en verschillen in vorm en detail per bedrijf.</w:t>
      </w:r>
    </w:p>
    <w:p w14:paraId="20A7F2D7" w14:textId="77777777" w:rsidR="004C2836" w:rsidRDefault="00000000">
      <w:pPr>
        <w:pStyle w:val="Lijstalinea"/>
        <w:numPr>
          <w:ilvl w:val="0"/>
          <w:numId w:val="2"/>
        </w:numPr>
        <w:spacing w:after="80" w:line="276" w:lineRule="auto"/>
        <w:jc w:val="both"/>
      </w:pPr>
      <w:r>
        <w:rPr>
          <w:b/>
          <w:bCs/>
        </w:rPr>
        <w:t xml:space="preserve">Onbekend exact aantal bedrijven en dieren; </w:t>
      </w:r>
      <w:r>
        <w:t>de meldingen zijn cumulatief over twee decennia verzameld zonder centrale database.</w:t>
      </w:r>
    </w:p>
    <w:p w14:paraId="20A7F2D8" w14:textId="77777777" w:rsidR="004C2836" w:rsidRDefault="00000000">
      <w:pPr>
        <w:pStyle w:val="Lijstalinea"/>
        <w:numPr>
          <w:ilvl w:val="0"/>
          <w:numId w:val="2"/>
        </w:numPr>
        <w:spacing w:after="80" w:line="276" w:lineRule="auto"/>
        <w:jc w:val="both"/>
      </w:pPr>
      <w:r>
        <w:rPr>
          <w:b/>
          <w:bCs/>
        </w:rPr>
        <w:t xml:space="preserve">Gelijktijdige managementfactoren </w:t>
      </w:r>
      <w:r>
        <w:t>(rantsoenwijziging, seizoen, andere interventies) zijn niet systematisch uitgesloten.</w:t>
      </w:r>
    </w:p>
    <w:p w14:paraId="20A7F2D9" w14:textId="77777777" w:rsidR="004C2836" w:rsidRDefault="00000000">
      <w:pPr>
        <w:spacing w:before="120" w:after="140" w:line="276" w:lineRule="auto"/>
        <w:jc w:val="both"/>
      </w:pPr>
      <w:r>
        <w:t>Deze beperkingen betekenen niet dat de waarnemingen waardeloos zijn — herhaalde, onafhankelijke meldingen van vergelijkbare effecten door verschillende, niet met elkaar in contact staande veehouders over een lange periode hebben wel degelijk signaalwaarde en zijn een legitieme basis voor hypothesevorming. Zij zijn echter geen bewijs van werkzaamheid en mogen niet als zodanig worden gepresenteerd.</w:t>
      </w:r>
    </w:p>
    <w:p w14:paraId="20A7F2DA" w14:textId="77777777" w:rsidR="004C2836" w:rsidRDefault="00000000">
      <w:pPr>
        <w:pStyle w:val="Kop2"/>
      </w:pPr>
      <w:r>
        <w:t>2.2 Evidentietabel — leeswijzer</w:t>
      </w:r>
    </w:p>
    <w:p w14:paraId="20A7F2DB" w14:textId="77777777" w:rsidR="004C2836" w:rsidRDefault="00000000">
      <w:pPr>
        <w:spacing w:after="140" w:line="276" w:lineRule="auto"/>
        <w:jc w:val="both"/>
      </w:pPr>
      <w:r>
        <w:t>Elke bevinding in hoofdstuk 3 is voorzien van een tier-aanduiding die het niveau van onderbouwing weergeeft:</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0"/>
        <w:gridCol w:w="3600"/>
        <w:gridCol w:w="4526"/>
      </w:tblGrid>
      <w:tr w:rsidR="004C2836" w14:paraId="20A7F2DF" w14:textId="77777777">
        <w:tblPrEx>
          <w:tblCellMar>
            <w:top w:w="0" w:type="dxa"/>
            <w:bottom w:w="0" w:type="dxa"/>
          </w:tblCellMar>
        </w:tblPrEx>
        <w:trPr>
          <w:tblHeader/>
        </w:trPr>
        <w:tc>
          <w:tcPr>
            <w:tcW w:w="900" w:type="dxa"/>
            <w:tcBorders>
              <w:top w:val="single" w:sz="4" w:space="0" w:color="999999"/>
              <w:left w:val="single" w:sz="4" w:space="0" w:color="999999"/>
              <w:bottom w:val="single" w:sz="4" w:space="0" w:color="999999"/>
              <w:right w:val="single" w:sz="4" w:space="0" w:color="999999"/>
            </w:tcBorders>
            <w:shd w:val="clear" w:color="auto" w:fill="D9D9D9"/>
            <w:tcMar>
              <w:top w:w="80" w:type="dxa"/>
              <w:left w:w="120" w:type="dxa"/>
              <w:bottom w:w="80" w:type="dxa"/>
              <w:right w:w="120" w:type="dxa"/>
            </w:tcMar>
          </w:tcPr>
          <w:p w14:paraId="20A7F2DC" w14:textId="77777777" w:rsidR="004C2836" w:rsidRDefault="00000000">
            <w:r>
              <w:rPr>
                <w:b/>
                <w:bCs/>
                <w:sz w:val="20"/>
                <w:szCs w:val="20"/>
              </w:rPr>
              <w:t>Tier</w:t>
            </w:r>
          </w:p>
        </w:tc>
        <w:tc>
          <w:tcPr>
            <w:tcW w:w="3600" w:type="dxa"/>
            <w:tcBorders>
              <w:top w:val="single" w:sz="4" w:space="0" w:color="999999"/>
              <w:left w:val="single" w:sz="4" w:space="0" w:color="999999"/>
              <w:bottom w:val="single" w:sz="4" w:space="0" w:color="999999"/>
              <w:right w:val="single" w:sz="4" w:space="0" w:color="999999"/>
            </w:tcBorders>
            <w:shd w:val="clear" w:color="auto" w:fill="D9D9D9"/>
            <w:tcMar>
              <w:top w:w="80" w:type="dxa"/>
              <w:left w:w="120" w:type="dxa"/>
              <w:bottom w:w="80" w:type="dxa"/>
              <w:right w:w="120" w:type="dxa"/>
            </w:tcMar>
          </w:tcPr>
          <w:p w14:paraId="20A7F2DD" w14:textId="77777777" w:rsidR="004C2836" w:rsidRDefault="00000000">
            <w:r>
              <w:rPr>
                <w:b/>
                <w:bCs/>
                <w:sz w:val="20"/>
                <w:szCs w:val="20"/>
              </w:rPr>
              <w:t>Niveau van onderbouwing</w:t>
            </w:r>
          </w:p>
        </w:tc>
        <w:tc>
          <w:tcPr>
            <w:tcW w:w="4526" w:type="dxa"/>
            <w:tcBorders>
              <w:top w:val="single" w:sz="4" w:space="0" w:color="999999"/>
              <w:left w:val="single" w:sz="4" w:space="0" w:color="999999"/>
              <w:bottom w:val="single" w:sz="4" w:space="0" w:color="999999"/>
              <w:right w:val="single" w:sz="4" w:space="0" w:color="999999"/>
            </w:tcBorders>
            <w:shd w:val="clear" w:color="auto" w:fill="D9D9D9"/>
            <w:tcMar>
              <w:top w:w="80" w:type="dxa"/>
              <w:left w:w="120" w:type="dxa"/>
              <w:bottom w:w="80" w:type="dxa"/>
              <w:right w:w="120" w:type="dxa"/>
            </w:tcMar>
          </w:tcPr>
          <w:p w14:paraId="20A7F2DE" w14:textId="77777777" w:rsidR="004C2836" w:rsidRDefault="00000000">
            <w:r>
              <w:rPr>
                <w:b/>
                <w:bCs/>
                <w:sz w:val="20"/>
                <w:szCs w:val="20"/>
              </w:rPr>
              <w:t>Toepassing in dit rapport</w:t>
            </w:r>
          </w:p>
        </w:tc>
      </w:tr>
      <w:tr w:rsidR="004C2836" w14:paraId="20A7F2E3" w14:textId="77777777">
        <w:tblPrEx>
          <w:tblCellMar>
            <w:top w:w="0" w:type="dxa"/>
            <w:bottom w:w="0" w:type="dxa"/>
          </w:tblCellMar>
        </w:tblPrEx>
        <w:tc>
          <w:tcPr>
            <w:tcW w:w="900" w:type="dxa"/>
            <w:tcBorders>
              <w:top w:val="single" w:sz="4" w:space="0" w:color="999999"/>
              <w:left w:val="single" w:sz="4" w:space="0" w:color="999999"/>
              <w:bottom w:val="single" w:sz="4" w:space="0" w:color="999999"/>
              <w:right w:val="single" w:sz="4" w:space="0" w:color="999999"/>
            </w:tcBorders>
            <w:shd w:val="clear" w:color="auto" w:fill="2E7D32"/>
            <w:tcMar>
              <w:top w:w="80" w:type="dxa"/>
              <w:left w:w="120" w:type="dxa"/>
              <w:bottom w:w="80" w:type="dxa"/>
              <w:right w:w="120" w:type="dxa"/>
            </w:tcMar>
          </w:tcPr>
          <w:p w14:paraId="20A7F2E0" w14:textId="77777777" w:rsidR="004C2836" w:rsidRDefault="00000000">
            <w:pPr>
              <w:jc w:val="center"/>
            </w:pPr>
            <w:r>
              <w:rPr>
                <w:b/>
                <w:bCs/>
                <w:color w:val="FFFFFF"/>
              </w:rPr>
              <w:t>A</w:t>
            </w:r>
          </w:p>
        </w:tc>
        <w:tc>
          <w:tcPr>
            <w:tcW w:w="36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20A7F2E1" w14:textId="77777777" w:rsidR="004C2836" w:rsidRDefault="00000000">
            <w:r>
              <w:rPr>
                <w:sz w:val="20"/>
                <w:szCs w:val="20"/>
              </w:rPr>
              <w:t>Gepubliceerd, gecontroleerd onderzoek (extern, peer-reviewed)</w:t>
            </w:r>
          </w:p>
        </w:tc>
        <w:tc>
          <w:tcPr>
            <w:tcW w:w="4526"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20A7F2E2" w14:textId="77777777" w:rsidR="004C2836" w:rsidRDefault="00000000">
            <w:r>
              <w:rPr>
                <w:sz w:val="20"/>
                <w:szCs w:val="20"/>
              </w:rPr>
              <w:t>Niet van toepassing op Immutines™-specifieke claims in dit rapport.</w:t>
            </w:r>
          </w:p>
        </w:tc>
      </w:tr>
      <w:tr w:rsidR="004C2836" w14:paraId="20A7F2E7" w14:textId="77777777">
        <w:tblPrEx>
          <w:tblCellMar>
            <w:top w:w="0" w:type="dxa"/>
            <w:bottom w:w="0" w:type="dxa"/>
          </w:tblCellMar>
        </w:tblPrEx>
        <w:tc>
          <w:tcPr>
            <w:tcW w:w="900" w:type="dxa"/>
            <w:tcBorders>
              <w:top w:val="single" w:sz="4" w:space="0" w:color="999999"/>
              <w:left w:val="single" w:sz="4" w:space="0" w:color="999999"/>
              <w:bottom w:val="single" w:sz="4" w:space="0" w:color="999999"/>
              <w:right w:val="single" w:sz="4" w:space="0" w:color="999999"/>
            </w:tcBorders>
            <w:shd w:val="clear" w:color="auto" w:fill="1565C0"/>
            <w:tcMar>
              <w:top w:w="80" w:type="dxa"/>
              <w:left w:w="120" w:type="dxa"/>
              <w:bottom w:w="80" w:type="dxa"/>
              <w:right w:w="120" w:type="dxa"/>
            </w:tcMar>
          </w:tcPr>
          <w:p w14:paraId="20A7F2E4" w14:textId="77777777" w:rsidR="004C2836" w:rsidRDefault="00000000">
            <w:pPr>
              <w:jc w:val="center"/>
            </w:pPr>
            <w:r>
              <w:rPr>
                <w:b/>
                <w:bCs/>
                <w:color w:val="FFFFFF"/>
              </w:rPr>
              <w:t>B</w:t>
            </w:r>
          </w:p>
        </w:tc>
        <w:tc>
          <w:tcPr>
            <w:tcW w:w="36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20A7F2E5" w14:textId="77777777" w:rsidR="004C2836" w:rsidRDefault="00000000">
            <w:r>
              <w:rPr>
                <w:sz w:val="20"/>
                <w:szCs w:val="20"/>
              </w:rPr>
              <w:t>Mechanistische plausibiliteit op basis van gepubliceerde achtergrondliteratuur</w:t>
            </w:r>
          </w:p>
        </w:tc>
        <w:tc>
          <w:tcPr>
            <w:tcW w:w="4526"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20A7F2E6" w14:textId="77777777" w:rsidR="004C2836" w:rsidRDefault="00000000">
            <w:r>
              <w:rPr>
                <w:sz w:val="20"/>
                <w:szCs w:val="20"/>
              </w:rPr>
              <w:t>Het onderliggende mechanisme (mineraalinteractie) is elders beschreven; de toepassing op Immutines™ zelf niet.</w:t>
            </w:r>
          </w:p>
        </w:tc>
      </w:tr>
      <w:tr w:rsidR="004C2836" w14:paraId="20A7F2EB" w14:textId="77777777">
        <w:tblPrEx>
          <w:tblCellMar>
            <w:top w:w="0" w:type="dxa"/>
            <w:bottom w:w="0" w:type="dxa"/>
          </w:tblCellMar>
        </w:tblPrEx>
        <w:tc>
          <w:tcPr>
            <w:tcW w:w="900" w:type="dxa"/>
            <w:tcBorders>
              <w:top w:val="single" w:sz="4" w:space="0" w:color="999999"/>
              <w:left w:val="single" w:sz="4" w:space="0" w:color="999999"/>
              <w:bottom w:val="single" w:sz="4" w:space="0" w:color="999999"/>
              <w:right w:val="single" w:sz="4" w:space="0" w:color="999999"/>
            </w:tcBorders>
            <w:shd w:val="clear" w:color="auto" w:fill="EF8F00"/>
            <w:tcMar>
              <w:top w:w="80" w:type="dxa"/>
              <w:left w:w="120" w:type="dxa"/>
              <w:bottom w:w="80" w:type="dxa"/>
              <w:right w:w="120" w:type="dxa"/>
            </w:tcMar>
          </w:tcPr>
          <w:p w14:paraId="20A7F2E8" w14:textId="77777777" w:rsidR="004C2836" w:rsidRDefault="00000000">
            <w:pPr>
              <w:jc w:val="center"/>
            </w:pPr>
            <w:r>
              <w:rPr>
                <w:b/>
                <w:bCs/>
                <w:color w:val="FFFFFF"/>
              </w:rPr>
              <w:t>C</w:t>
            </w:r>
          </w:p>
        </w:tc>
        <w:tc>
          <w:tcPr>
            <w:tcW w:w="36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20A7F2E9" w14:textId="77777777" w:rsidR="004C2836" w:rsidRDefault="00000000">
            <w:r>
              <w:rPr>
                <w:sz w:val="20"/>
                <w:szCs w:val="20"/>
              </w:rPr>
              <w:t>Herhaalde, onafhankelijke praktijkobservatie (meerdere bedrijven, lange periode)</w:t>
            </w:r>
          </w:p>
        </w:tc>
        <w:tc>
          <w:tcPr>
            <w:tcW w:w="4526"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20A7F2EA" w14:textId="77777777" w:rsidR="004C2836" w:rsidRDefault="00000000">
            <w:r>
              <w:rPr>
                <w:sz w:val="20"/>
                <w:szCs w:val="20"/>
              </w:rPr>
              <w:t>Consistente meldingen van meerdere klanten over jaren; geen controlegroep.</w:t>
            </w:r>
          </w:p>
        </w:tc>
      </w:tr>
      <w:tr w:rsidR="004C2836" w14:paraId="20A7F2EF" w14:textId="77777777">
        <w:tblPrEx>
          <w:tblCellMar>
            <w:top w:w="0" w:type="dxa"/>
            <w:bottom w:w="0" w:type="dxa"/>
          </w:tblCellMar>
        </w:tblPrEx>
        <w:tc>
          <w:tcPr>
            <w:tcW w:w="900" w:type="dxa"/>
            <w:tcBorders>
              <w:top w:val="single" w:sz="4" w:space="0" w:color="999999"/>
              <w:left w:val="single" w:sz="4" w:space="0" w:color="999999"/>
              <w:bottom w:val="single" w:sz="4" w:space="0" w:color="999999"/>
              <w:right w:val="single" w:sz="4" w:space="0" w:color="999999"/>
            </w:tcBorders>
            <w:shd w:val="clear" w:color="auto" w:fill="C62828"/>
            <w:tcMar>
              <w:top w:w="80" w:type="dxa"/>
              <w:left w:w="120" w:type="dxa"/>
              <w:bottom w:w="80" w:type="dxa"/>
              <w:right w:w="120" w:type="dxa"/>
            </w:tcMar>
          </w:tcPr>
          <w:p w14:paraId="20A7F2EC" w14:textId="77777777" w:rsidR="004C2836" w:rsidRDefault="00000000">
            <w:pPr>
              <w:jc w:val="center"/>
            </w:pPr>
            <w:r>
              <w:rPr>
                <w:b/>
                <w:bCs/>
                <w:color w:val="FFFFFF"/>
              </w:rPr>
              <w:t>D</w:t>
            </w:r>
          </w:p>
        </w:tc>
        <w:tc>
          <w:tcPr>
            <w:tcW w:w="36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20A7F2ED" w14:textId="77777777" w:rsidR="004C2836" w:rsidRDefault="00000000">
            <w:r>
              <w:rPr>
                <w:sz w:val="20"/>
                <w:szCs w:val="20"/>
              </w:rPr>
              <w:t>Incidentele / anekdotische melding (één of enkele bedrijven)</w:t>
            </w:r>
          </w:p>
        </w:tc>
        <w:tc>
          <w:tcPr>
            <w:tcW w:w="4526"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20A7F2EE" w14:textId="77777777" w:rsidR="004C2836" w:rsidRDefault="00000000">
            <w:r>
              <w:rPr>
                <w:sz w:val="20"/>
                <w:szCs w:val="20"/>
              </w:rPr>
              <w:t>Losse, recente of eenmalige waarneming, nog niet herhaald bevestigd.</w:t>
            </w:r>
          </w:p>
        </w:tc>
      </w:tr>
    </w:tbl>
    <w:p w14:paraId="20A7F2F0" w14:textId="77777777" w:rsidR="004C2836" w:rsidRDefault="00000000">
      <w:pPr>
        <w:pStyle w:val="Kop1"/>
      </w:pPr>
      <w:r>
        <w:t>3. Bevindingen per thema</w:t>
      </w:r>
    </w:p>
    <w:p w14:paraId="20A7F2F1" w14:textId="77777777" w:rsidR="004C2836" w:rsidRDefault="00000000">
      <w:pPr>
        <w:pStyle w:val="Kop2"/>
      </w:pPr>
      <w:r>
        <w:lastRenderedPageBreak/>
        <w:t xml:space="preserve">3.1 Vruchtbaarheid en tochtigheid — </w:t>
      </w:r>
      <w:r>
        <w:rPr>
          <w:color w:val="EF8F00"/>
        </w:rPr>
        <w:t>Tier C</w:t>
      </w:r>
    </w:p>
    <w:p w14:paraId="20A7F2F2" w14:textId="77777777" w:rsidR="004C2836" w:rsidRDefault="00000000">
      <w:pPr>
        <w:spacing w:after="140" w:line="276" w:lineRule="auto"/>
        <w:jc w:val="both"/>
      </w:pPr>
      <w:r>
        <w:t>Meerdere klanten melden, onafhankelijk van elkaar en herhaald over de onderzochte periode, dat koeien na gebruik van Immutines™ beter en duidelijker tochtig worden. Dit sluit aan bij de rol van calcium, magnesium en fosfor in reproductieve fysiologie (onder andere in de hormonale cyclus en energiehuishouding rond de bronst), en bij het feit dat mineraaltekorten een erkende oorzaak zijn van verminderde of stille tochtigheid bij melkvee. Een directe, gemeten relatie tussen Immutines™-gebruik en tochtigheidsdetectie is niet vastgelegd; de meldingen zijn kwalitatief van aard.</w:t>
      </w:r>
    </w:p>
    <w:p w14:paraId="20A7F2F3" w14:textId="77777777" w:rsidR="004C2836" w:rsidRDefault="00000000">
      <w:pPr>
        <w:pStyle w:val="Kop2"/>
      </w:pPr>
      <w:r>
        <w:t xml:space="preserve">3.2 Baarmoederherstel na afkalven (opschonen) — </w:t>
      </w:r>
      <w:r>
        <w:rPr>
          <w:color w:val="EF8F00"/>
        </w:rPr>
        <w:t>Tier C</w:t>
      </w:r>
    </w:p>
    <w:p w14:paraId="20A7F2F4" w14:textId="77777777" w:rsidR="004C2836" w:rsidRDefault="00000000">
      <w:pPr>
        <w:spacing w:after="140" w:line="276" w:lineRule="auto"/>
        <w:jc w:val="both"/>
      </w:pPr>
      <w:r>
        <w:t>Een terugkerende melding is dat koeien na afkalven beter en vollediger 'opschonen' (uterusinvolutie en afstoting van de placenta), met als gevolg minder gevallen waarin de dierenarts moet ingrijpen met curettage. Retentio secundinarum en trage uterusinvolutie hangen in de veterinaire literatuur samen met de energie- en mineraalstatus rond het afkalven, wat de gerapporteerde waarneming mechanistisch plausibel maakt. Er is geen vastgelegd aantal curettages voor-versus-na beschikbaar; de vergelijking berust op de subjectieve indruk van veehouder en dierenarts.</w:t>
      </w:r>
    </w:p>
    <w:p w14:paraId="20A7F2F5" w14:textId="77777777" w:rsidR="004C2836" w:rsidRDefault="00000000">
      <w:pPr>
        <w:pStyle w:val="Kop2"/>
      </w:pPr>
      <w:r>
        <w:t xml:space="preserve">3.3 Haarkleed: glans en kleurscherpte — </w:t>
      </w:r>
      <w:r>
        <w:rPr>
          <w:color w:val="EF8F00"/>
        </w:rPr>
        <w:t>Tier C</w:t>
      </w:r>
    </w:p>
    <w:p w14:paraId="20A7F2F6" w14:textId="77777777" w:rsidR="004C2836" w:rsidRDefault="00000000">
      <w:pPr>
        <w:spacing w:after="140" w:line="276" w:lineRule="auto"/>
        <w:jc w:val="both"/>
      </w:pPr>
      <w:r>
        <w:t>Klanten melden consistent een verbeterde glans van de vacht en een scherpere, 'zuiverder' kleurweergave van het haarkleed (wit is zichtbaar witter, zwart zichtbaar zwarter). Haarkwaliteit is een klassieke, breed erkende visuele indicator van algemene mineraal- en voedingsstatus bij herkauwers en wordt in de praktijk vaak gebruikt als eenvoudige, niet-invasieve graadmeter. De waarneming is dus mechanistisch aannemelijk als algemeen effect van verbeterde mineraalvoorziening, maar niet specifiek toe te schrijven aan Immutines™ ten opzichte van andere mineraalsupplementen.</w:t>
      </w:r>
    </w:p>
    <w:p w14:paraId="20A7F2F7" w14:textId="77777777" w:rsidR="004C2836" w:rsidRDefault="00000000">
      <w:pPr>
        <w:pStyle w:val="Kop2"/>
      </w:pPr>
      <w:r>
        <w:t xml:space="preserve">3.4 Hoefkwaliteit — </w:t>
      </w:r>
      <w:r>
        <w:rPr>
          <w:color w:val="EF8F00"/>
        </w:rPr>
        <w:t>Tier C</w:t>
      </w:r>
    </w:p>
    <w:p w14:paraId="20A7F2F8" w14:textId="77777777" w:rsidR="004C2836" w:rsidRDefault="00000000">
      <w:pPr>
        <w:spacing w:after="140" w:line="276" w:lineRule="auto"/>
        <w:jc w:val="both"/>
      </w:pPr>
      <w:r>
        <w:t>Klauwverzorgers rapporteren aan meerdere klanten dat hoeven na gebruik van Immutines™ harder aanvoelen en beter bewerkbaar zijn. Hoornkwaliteit is sterk afhankelijk van onder andere zink, biotine, calcium en fosfor; een verbeterde macro-elementopname zou hier plausibel aan bijdragen. De waarnemingen zijn afkomstig van derden (klauwverzorgers) die niet gestandaardiseerd hebben gescoord (bijvoorbeeld met een klauwhoornhardheidsmeter); het betreft een kwalitatieve indruk.</w:t>
      </w:r>
    </w:p>
    <w:p w14:paraId="20A7F2F9" w14:textId="77777777" w:rsidR="004C2836" w:rsidRDefault="00000000">
      <w:pPr>
        <w:pStyle w:val="Kop2"/>
      </w:pPr>
      <w:r>
        <w:t xml:space="preserve">3.5 Voeropname van maïs na besproeiing — </w:t>
      </w:r>
      <w:r>
        <w:rPr>
          <w:color w:val="C62828"/>
        </w:rPr>
        <w:t>Tier D</w:t>
      </w:r>
    </w:p>
    <w:p w14:paraId="20A7F2FA" w14:textId="77777777" w:rsidR="004C2836" w:rsidRDefault="00000000">
      <w:pPr>
        <w:spacing w:after="140" w:line="276" w:lineRule="auto"/>
        <w:jc w:val="both"/>
      </w:pPr>
      <w:r>
        <w:t>Recent meldde een klant dat koeien de maïs duidelijk beter opvraten wanneer deze met Immutines™ werd overgoten. Dit is vooralsnog een enkele, recente waarneming en dient als hypothese-genererend te worden beschouwd, niet als bevestigd effect. Denkbare, nog niet onderzochte verklaringen zijn een smaak- of geureffect van de mineraalsamenstelling, dan wel een indirect effect via verbeterde algemene conditie van de dieren.</w:t>
      </w:r>
    </w:p>
    <w:p w14:paraId="20A7F2FB" w14:textId="77777777" w:rsidR="004C2836" w:rsidRDefault="00000000">
      <w:pPr>
        <w:pStyle w:val="Kop2"/>
      </w:pPr>
      <w:r>
        <w:t xml:space="preserve">3.6 Boterzuurprotocol: Clostridium butyricum, botulinum en perfringens — </w:t>
      </w:r>
      <w:r>
        <w:rPr>
          <w:color w:val="C62828"/>
        </w:rPr>
        <w:t>Tier C/D</w:t>
      </w:r>
    </w:p>
    <w:p w14:paraId="20A7F2FC" w14:textId="77777777" w:rsidR="004C2836" w:rsidRDefault="00000000">
      <w:pPr>
        <w:spacing w:after="140" w:line="276" w:lineRule="auto"/>
        <w:jc w:val="both"/>
      </w:pPr>
      <w:r>
        <w:t xml:space="preserve">Bij vastgestelde boterzuurproblematiek in het rantsoen wordt de dosering verhoogd naar 15 ml Immutines™ plus 200 gram Impactpoeder. Klanten melden dat Clostridium butyricum-problematiek hiermee doorgaans binnen ongeveer een week is verdwenen (Tier C: herhaald gemeld). Bij Clostridium </w:t>
      </w:r>
      <w:r>
        <w:lastRenderedPageBreak/>
        <w:t>botulinum en Clostridium perfringens is het effect wisselend ('lukt meestal wel'), wat wijst op een minder consistent en minder goed te verklaren effect (Tier D).</w:t>
      </w:r>
    </w:p>
    <w:p w14:paraId="20A7F2FD" w14:textId="77777777" w:rsidR="004C2836" w:rsidRDefault="00000000">
      <w:pPr>
        <w:spacing w:after="140" w:line="276" w:lineRule="auto"/>
        <w:jc w:val="both"/>
      </w:pPr>
      <w:r>
        <w:t>Boterzuur (Clostridium-fermentatie) in ruwvoer, met name bij te natte inkuiling (&lt;30% droge stof) of onvoldoende verdichting, is een goed gedocumenteerd probleem in de rundveehouderij [7,8]. Botulisme door Clostridium botulinum ontstaat doorgaans wanneer eiwitrijk materiaal (bijvoorbeeld een meegekuild kadaver) rot binnen de kuil, en kan bij herkauwers tot ernstige, potentieel fatale spierverlamming leiden [9]. Een boterzuurgehalte boven ongeveer 0,5% van de droge stof wordt in de literatuur als risiconiveau voor verminderde voeropname en metabole problemen (waaronder ketose) beschouwd [10].</w:t>
      </w:r>
    </w:p>
    <w:p w14:paraId="20A7F2FE" w14:textId="77777777" w:rsidR="004C2836" w:rsidRDefault="00000000">
      <w:pPr>
        <w:pBdr>
          <w:left w:val="single" w:sz="18" w:space="8" w:color="C62828"/>
        </w:pBdr>
        <w:shd w:val="clear" w:color="auto" w:fill="FDECEA"/>
        <w:spacing w:before="120" w:after="160"/>
        <w:jc w:val="both"/>
      </w:pPr>
      <w:r>
        <w:rPr>
          <w:b/>
          <w:bCs/>
        </w:rPr>
        <w:t>Botulisme en clostridiale infecties (met name C. botulinum en C. perfringens type C/D) zijn potentieel levensbedreigend en kunnen zich zeer snel ontwikkelen. Een wisselend en niet volledig betrouwbaar effect ('lukt meestal wel') is bij deze aandoeningen onvoldoende basis om te wachten met dierenartsbetrokkenheid. Zie hoofdstuk 6.</w:t>
      </w:r>
    </w:p>
    <w:p w14:paraId="20A7F2FF" w14:textId="77777777" w:rsidR="004C2836" w:rsidRDefault="00000000">
      <w:pPr>
        <w:pStyle w:val="Kop2"/>
      </w:pPr>
      <w:r>
        <w:t xml:space="preserve">3.7 Combinatie met melkzuurbacteriën: Salmonella — </w:t>
      </w:r>
      <w:r>
        <w:rPr>
          <w:color w:val="C62828"/>
        </w:rPr>
        <w:t>Tier C/D</w:t>
      </w:r>
    </w:p>
    <w:p w14:paraId="20A7F300" w14:textId="77777777" w:rsidR="004C2836" w:rsidRDefault="00000000">
      <w:pPr>
        <w:spacing w:after="140" w:line="276" w:lineRule="auto"/>
        <w:jc w:val="both"/>
      </w:pPr>
      <w:r>
        <w:t>Een combinatie van Immutines™/Impactpoeder met melkzuurbacteriën wordt door klanten gemeld als effectief bij het snel oplossen van Salmonella-problematiek in de veestapel. Het onderliggende, plausibele mechanisme is competitieve uitsluiting: melkzuurbacteriën verlagen lokaal de pH en concurreren om voedingsstoffen en aanhechtingsplaatsen in het maagdarmkanaal, wat de vermeerdering van pathogene Salmonella-stammen kan remmen. Dit is een breed onderzocht principe in de probiotica-literatuur in het algemeen; specifiek onderzoek naar deze combinatie met Immutines™ ontbreekt. Salmonellose bij melkvee kan, afhankelijk van het serotype en de leeftijd/status van het dier, ernstig verlopen (sepsis, sterfte, zoönotisch risico voor mensen op het bedrijf); praktijkwaarnemingen van 'snel oplossen' vervangen geen diagnostiek en behandeling door de dierenarts, zeker niet bij acute of ernstige uitbraken.</w:t>
      </w:r>
    </w:p>
    <w:p w14:paraId="20A7F301" w14:textId="77777777" w:rsidR="004C2836" w:rsidRDefault="00000000">
      <w:pPr>
        <w:pStyle w:val="Kop2"/>
      </w:pPr>
      <w:r>
        <w:t xml:space="preserve">3.8 Aanvullende informatie: koolstof (kleimineralen) als tweede pijler, en de bredere Nederlandse mineralenproblematiek — </w:t>
      </w:r>
      <w:r>
        <w:rPr>
          <w:color w:val="1565C0"/>
        </w:rPr>
        <w:t>Tier B/C</w:t>
      </w:r>
    </w:p>
    <w:p w14:paraId="20A7F302" w14:textId="77777777" w:rsidR="004C2836" w:rsidRDefault="00000000">
      <w:pPr>
        <w:spacing w:after="140" w:line="276" w:lineRule="auto"/>
        <w:jc w:val="both"/>
      </w:pPr>
      <w:r>
        <w:t>Deze paragraaf verbreedt het beeld van hoofdstuk 3: Koolstofkring BV lost geconstateerde mineraalproblemen bij klanten niet uitsluitend op met Immutines™, maar ook met koolstof (kleimineralen). Kleimineralen hebben van nature een hoge kationuitwisselingscapaciteit (CEC) en worden elders in de diervoeding al toegepast als drager en buffer voor mineralen en als bindmiddel voor ongewenste stoffen; dit maakt een rol als mineraaldrager mechanistisch plausibel. Net als bij Immutines™ zelf (zie de kanttekening in hoofdstuk 1) is de specifieke werking van de kleimineralen zoals door Koolstofkring BV toegepast niet onafhankelijk onderzocht, en gelden hier dezelfde beperkingen als beschreven in hoofdstuk 2.</w:t>
      </w:r>
    </w:p>
    <w:p w14:paraId="20A7F303" w14:textId="77777777" w:rsidR="004C2836" w:rsidRDefault="00000000">
      <w:pPr>
        <w:spacing w:after="140" w:line="276" w:lineRule="auto"/>
        <w:jc w:val="both"/>
      </w:pPr>
      <w:r>
        <w:t>Veel klanten van Koolstofkring BV nemen deel aan het mineralenonderzoek van de Gezondheidsdienst voor Dieren (GD). Daarbij worden via bloed- of tankmelkonderzoek onder meer selenium, jodium, koper en zink gemeten [11]. Opvallend is dat deze bedrijven vrijwel nooit gebreken laten zien aan de gemeten mineralen. Dat geldt ondanks een relatief lage dosering van 13 ml Immutines™ per dier als voeradditief. Ook deze waarneming moet met dezelfde voorbehouden worden gelezen als de rest van dit rapport: er is geen vergelijking met een controlegroep zonder Immutines™-gebruik.</w:t>
      </w:r>
    </w:p>
    <w:p w14:paraId="20A7F304" w14:textId="77777777" w:rsidR="004C2836" w:rsidRDefault="00000000">
      <w:pPr>
        <w:spacing w:after="140" w:line="276" w:lineRule="auto"/>
        <w:jc w:val="both"/>
      </w:pPr>
      <w:r>
        <w:lastRenderedPageBreak/>
        <w:t>Toch is er reden tot zorg. Veel veehouders merken dat de mineralenvoorziening via hun eigen ruwvoer wél in de knel komt, met name voor selenium. Uit ruwvoeranalyses blijkt bovendien steeds vaker dat het macro-element calcium en een aantal sporenelementen, met name koper en kobalt, onder de norm aanwezig zijn. Dat geldt helaas ook voor bedrijven die klant zijn van Koolstofkring BV.</w:t>
      </w:r>
    </w:p>
    <w:p w14:paraId="20A7F305" w14:textId="77777777" w:rsidR="004C2836" w:rsidRDefault="00000000">
      <w:pPr>
        <w:spacing w:after="140" w:line="276" w:lineRule="auto"/>
        <w:jc w:val="both"/>
      </w:pPr>
      <w:r>
        <w:t>Beide uitkomsten spreken elkaar niet tegen. Het GD-onderzoek meet de mineraalstatus van het dier, inclusief wat via supplementen wordt aangevuld. De ruwvoeranalyse meet wat het eigen land levert. Een goede GD-uitslag bij een tekortschietend ruwvoer betekent dus dat het bedrijf voor zijn mineralenvoorziening structureel afhankelijk is van aanvulling.</w:t>
      </w:r>
    </w:p>
    <w:p w14:paraId="20A7F306" w14:textId="77777777" w:rsidR="004C2836" w:rsidRDefault="00000000">
      <w:pPr>
        <w:spacing w:after="140" w:line="276" w:lineRule="auto"/>
        <w:jc w:val="both"/>
      </w:pPr>
      <w:r>
        <w:t>Dit beeld strookt met bevindingen van de GD zelf. Op meer dan 25 procent van de Nederlandse melkveebedrijven blijkt uit tankmelkonderzoek een verminderde voorziening van één of meerdere sporenelementen [12]. Nederlands grasland, met name op zandgrond, bevat van nature al weinig seleen en koper [13]. Wanneer vee in het voorjaar naar buiten gaat en minder krachtvoer krijgt, daalt de seleniumstatus verder. In recente jaren had circa 15 procent van de dieren in mei een seleniumtekort [13].</w:t>
      </w:r>
    </w:p>
    <w:p w14:paraId="20A7F307" w14:textId="77777777" w:rsidR="004C2836" w:rsidRDefault="00000000">
      <w:pPr>
        <w:pStyle w:val="Kop3"/>
      </w:pPr>
      <w:r>
        <w:t>3.8.1 Oorzaak: eenzijdige bemesting en mineraalafvoer via melk, vlees en mest</w:t>
      </w:r>
    </w:p>
    <w:p w14:paraId="20A7F308" w14:textId="77777777" w:rsidR="004C2836" w:rsidRDefault="00000000">
      <w:pPr>
        <w:spacing w:after="140" w:line="276" w:lineRule="auto"/>
        <w:jc w:val="both"/>
      </w:pPr>
      <w:r>
        <w:t>De oorzaak van deze tekorten ligt primair in eenzijdige bemesting. Op een melkveebedrijf worden altijd mineralen afgevoerd via melk en vlees. Dit effect wordt flink versterkt doordat er mest moet worden afgevoerd. Naast stikstof en fosfaat verdwijnen op die manier ook grote hoeveelheden sporenelementen van het bedrijf, zonder dat deze via bemesting worden aangevuld.</w:t>
      </w:r>
    </w:p>
    <w:p w14:paraId="20A7F309" w14:textId="77777777" w:rsidR="004C2836" w:rsidRDefault="00000000">
      <w:pPr>
        <w:spacing w:after="140" w:line="276" w:lineRule="auto"/>
        <w:jc w:val="both"/>
      </w:pPr>
      <w:r>
        <w:t>Dit mechanisme is ook extern gedocumenteerd. Sinds de invoering van de strengere mestwetgeving (het mineralenaangiftesysteem Minas, vanaf 1996) wordt aanzienlijk minder dierlijke mest op grasland en bouwland aangevoerd. Daardoor nemen met name de sporenelementen zink, ijzer en koper in de bodem af [14]. Voor veel bedrijven is bijbemesten of bijvoeren van sporenelementen daardoor noodzakelijk geworden om productie- en gezondheidsproblemen te voorkomen. De mineraalgehalten in graskuilen zijn sinds de invoering van deze regelgeving structureel afgenomen [14].</w:t>
      </w:r>
    </w:p>
    <w:p w14:paraId="20A7F30A" w14:textId="77777777" w:rsidR="004C2836" w:rsidRDefault="00000000">
      <w:pPr>
        <w:pStyle w:val="Kop3"/>
      </w:pPr>
      <w:r>
        <w:t>3.8.2 Kennisprobleem: interactie en werkingsefficiëntie van mineraalvormen</w:t>
      </w:r>
    </w:p>
    <w:p w14:paraId="20A7F30B" w14:textId="77777777" w:rsidR="004C2836" w:rsidRDefault="00000000">
      <w:pPr>
        <w:spacing w:after="140" w:line="276" w:lineRule="auto"/>
        <w:jc w:val="both"/>
      </w:pPr>
      <w:r>
        <w:t>Een tweede, onderbelicht probleem is dat er in de praktijk erg weinig kennis is over de interactie tussen de verschillende mineralen. Dat geldt ook voor de werkingsefficiëntie van de vorm waarin een mineraal wordt aangeboden.</w:t>
      </w:r>
    </w:p>
    <w:p w14:paraId="20A7F30C" w14:textId="77777777" w:rsidR="004C2836" w:rsidRDefault="00000000">
      <w:pPr>
        <w:spacing w:after="140" w:line="276" w:lineRule="auto"/>
        <w:jc w:val="both"/>
      </w:pPr>
      <w:r>
        <w:t>Magnesiumoxide (MgO) is een goedkope magnesiumbron, maar zeker bij een hoog kaliumgehalte in het rantsoen is de opneembaarheid beperkt. In de praktijkervaring van Koolstofkring BV is magnesiumoxide dan maximaal circa 10 procent werkzaam. Dat is erg laag ten opzichte van magnesiumchloride of magnesiumcitraat.</w:t>
      </w:r>
    </w:p>
    <w:p w14:paraId="20A7F30D" w14:textId="77777777" w:rsidR="004C2836" w:rsidRDefault="00000000">
      <w:pPr>
        <w:spacing w:after="140" w:line="276" w:lineRule="auto"/>
        <w:jc w:val="both"/>
      </w:pPr>
      <w:r>
        <w:t>Dit sluit aan bij de bredere literatuur. De gemiddelde absorptiecoëfficiënt van magnesium bij melkvee wordt op ongeveer 16 tot 17 procent geschat. Kalium remt de magnesiumopname al bij kaliumgehalten van 1 tot 3 procent van de droge stof, een niveau dat in reguliere rantsoenen en beweidingssituaties regelmatig wordt overschreden [15,16]. Een waarde rond 10 procent bij veel kalium ligt dus in de lijn der verwachting. Daarnaast is de kwaliteit van commercieel beschikbare magnesiumoxide wisselend, wat de daadwerkelijke beschikbaarheid verder beïnvloedt [15].</w:t>
      </w:r>
    </w:p>
    <w:p w14:paraId="20A7F30E" w14:textId="77777777" w:rsidR="004C2836" w:rsidRDefault="00000000">
      <w:pPr>
        <w:spacing w:after="140" w:line="276" w:lineRule="auto"/>
        <w:jc w:val="both"/>
      </w:pPr>
      <w:r>
        <w:lastRenderedPageBreak/>
        <w:t>Een bijkomend probleem is dat beter opneembare, organisch gebonden mineralen (chelaten, hydroxyverbindingen) vaak fors duurder zijn dan de klassieke anorganische, chemische verbindingen zoals sulfaten en oxiden. Dit creëert een spanningsveld tussen kostprijs en daadwerkelijke effectiviteit. Een goedkoop mengsel kan op papier volledig in de behoefte voorzien, terwijl de werkelijke opname door ongunstige interacties en een laagwaardige mineraalvorm sterk achterblijft.</w:t>
      </w:r>
    </w:p>
    <w:p w14:paraId="20A7F30F" w14:textId="77777777" w:rsidR="004C2836" w:rsidRDefault="00000000">
      <w:pPr>
        <w:spacing w:after="140" w:line="276" w:lineRule="auto"/>
        <w:jc w:val="both"/>
      </w:pPr>
      <w:r>
        <w:t>Deze paragraaf onderbouwt, met externe bronnen, waarom de door Koolstofkring BV voorgestelde werkhypothese — dat de vorm en onderlinge combinatie van mineralen sterk bepalend is voor de opname (zie hoofdstuk 5.1) — een reëel en breed erkend landbouwkundig probleem raakt. Dit bevestigt echter niet dat Immutines™ of de koolstof/kleimineralen van Koolstofkring BV dit probleem daadwerkelijk oplossen; het bevestigt alleen dat het probleem dat zij claimen op te lossen, oprecht bestaat en relevant is voor de Nederlandse melkveehouderij.</w:t>
      </w:r>
    </w:p>
    <w:p w14:paraId="20A7F310" w14:textId="77777777" w:rsidR="004C2836" w:rsidRDefault="00000000">
      <w:pPr>
        <w:pStyle w:val="Kop1"/>
      </w:pPr>
      <w:r>
        <w:t>4. Het contact met dr. ir. Jan Dijkstra (Wageningen University &amp; Research)</w:t>
      </w:r>
    </w:p>
    <w:p w14:paraId="20A7F311" w14:textId="77777777" w:rsidR="004C2836" w:rsidRDefault="00000000">
      <w:pPr>
        <w:spacing w:after="140" w:line="276" w:lineRule="auto"/>
        <w:jc w:val="both"/>
      </w:pPr>
      <w:r>
        <w:t>Naar aanleiding van de opeenstapeling van praktijkmeldingen is contact gezocht met Jan Dijkstra, hoogleraar/onderzoeker diervoeding aan Wageningen University &amp; Research, met de vraag of hij kon aangeven welk van de circa 89 in Immutines™ aanwezige elementen het meest bepalend was voor de waargenomen effecten. Dijkstra gaf aan dit niet uit het hoofd te kunnen beantwoorden, maar toonde oprechte interesse om dit gestructureerd te laten onderzoeken. De door hem (of zijn instituut) ingeschatte kosten voor een dergelijk onderzoek bedroegen circa €250.000.</w:t>
      </w:r>
    </w:p>
    <w:p w14:paraId="20A7F312" w14:textId="77777777" w:rsidR="004C2836" w:rsidRDefault="00000000">
      <w:pPr>
        <w:spacing w:after="140" w:line="276" w:lineRule="auto"/>
        <w:jc w:val="both"/>
      </w:pPr>
      <w:r>
        <w:t>Koolstofkring BV heeft, ondanks een gezonde bedrijfsvoering, besloten dit onderzoek niet te laten uitvoeren. De belangrijkste overweging was dat een investering van deze omvang niet binnen een redelijke termijn terugverdiend zou kunnen worden via de verkoop van Immutines™, gegeven de huidige omvang van die productlijn. Dijkstra is voor de moeite bedankt en het traject is niet verder vervolgd.</w:t>
      </w:r>
    </w:p>
    <w:p w14:paraId="20A7F313" w14:textId="77777777" w:rsidR="004C2836" w:rsidRDefault="00000000">
      <w:pPr>
        <w:spacing w:after="140" w:line="276" w:lineRule="auto"/>
        <w:jc w:val="both"/>
      </w:pPr>
      <w:r>
        <w:t>Deze episode is relevant voor de lezer van dit rapport om twee redenen: (1) het bevestigt dat een onafhankelijke expert de vraag welk element (of welke combinatie) verantwoordelijk is voor de effecten, serieus en oprecht onbeantwoord vond op basis van de huidige gegevens — er is dus geen bevestigd werkingsmechanisme; en (2) het geeft een reëel beeld van de investeringsdrempel die volledige wetenschappelijke validatie in de weg staat, en waarom dit rapport zich beperkt tot een observationeel niveau.</w:t>
      </w:r>
    </w:p>
    <w:p w14:paraId="20A7F314" w14:textId="77777777" w:rsidR="004C2836" w:rsidRDefault="00000000">
      <w:pPr>
        <w:pStyle w:val="Kop1"/>
      </w:pPr>
      <w:r>
        <w:t>5. Discussie: plausibiliteit, beperkingen en selectiebias</w:t>
      </w:r>
    </w:p>
    <w:p w14:paraId="20A7F315" w14:textId="77777777" w:rsidR="004C2836" w:rsidRDefault="00000000">
      <w:pPr>
        <w:pStyle w:val="Kop2"/>
      </w:pPr>
      <w:r>
        <w:t>5.1 Mechanistische plausibiliteit</w:t>
      </w:r>
    </w:p>
    <w:p w14:paraId="20A7F316" w14:textId="77777777" w:rsidR="004C2836" w:rsidRDefault="00000000">
      <w:pPr>
        <w:spacing w:after="140" w:line="276" w:lineRule="auto"/>
        <w:jc w:val="both"/>
      </w:pPr>
      <w:r>
        <w:t>Het basisidee — dat micro-elementen de opname van macro-elementen beïnvloeden — is niet nieuw en wordt breed erkend in de rundveevoedingsliteratuur. Bekende voorbeelden zijn de remmende werking van een overmaat kalium op magnesiumopname, de rol van vitamine D bij calciumopname, en de sterke invloed van de chemische vorm van spoorelementen (anorganisch versus organisch/hydroxy-gebonden) op de uiteindelijke biobeschikbaarheid in de dunne darm.</w:t>
      </w:r>
    </w:p>
    <w:p w14:paraId="20A7F317" w14:textId="77777777" w:rsidR="004C2836" w:rsidRDefault="00000000">
      <w:pPr>
        <w:spacing w:after="140" w:line="276" w:lineRule="auto"/>
        <w:jc w:val="both"/>
      </w:pPr>
      <w:r>
        <w:t xml:space="preserve">Zo is gedocumenteerd dat overmatig kalium in het rantsoen de opname van magnesium remt, wat een belangrijke reden is waarom magnesiumtekorten bij melkvee relatief snel kunnen ontstaan [2]. </w:t>
      </w:r>
      <w:r>
        <w:lastRenderedPageBreak/>
        <w:t>Ook calciumopname wordt beïnvloed door andere mineralen: een overmaat fosfor verlaagt de calciumopname, terwijl hoge calciumniveaus juist de opname van magnesium, zink, koper en kobalt kunnen verlagen [1]. Voor spoorelementen zelf is aangetoond dat het brontype (bijvoorbeeld hydroxy- of aminozuurgebonden vormen) de biobeschikbaarheid in de dunne darm sterk kan verbeteren ten opzichte van klassieke anorganische sulfaatvormen [3].</w:t>
      </w:r>
    </w:p>
    <w:p w14:paraId="20A7F318" w14:textId="77777777" w:rsidR="004C2836" w:rsidRDefault="00000000">
      <w:pPr>
        <w:spacing w:after="140" w:line="276" w:lineRule="auto"/>
        <w:jc w:val="both"/>
      </w:pPr>
      <w:r>
        <w:t>Deze achtergrondliteratuur maakt het aannemelijk dat een breed mineraalconcentraat zoals Immutines™, met een groot aantal micro-elementen naast de macro-elementen, via dergelijke interacties invloed kan hebben op de opname van Mg, K, Ca en P. Dit is echter een generieke, indirecte onderbouwing van het principe — geen specifiek bewijs dat Immutines™ dit doet, in welke mate, of welk van de 89 elementen daarvoor verantwoordelijk is. Precies deze vraag was ook de vraag die aan Jan Dijkstra werd gesteld en die onbeantwoord bleef (hoofdstuk 4).</w:t>
      </w:r>
    </w:p>
    <w:p w14:paraId="20A7F319" w14:textId="77777777" w:rsidR="004C2836" w:rsidRDefault="00000000">
      <w:pPr>
        <w:pStyle w:val="Kop2"/>
      </w:pPr>
      <w:r>
        <w:t>5.2 Selectiebias als dominante alternatieve verklaring</w:t>
      </w:r>
    </w:p>
    <w:p w14:paraId="20A7F31A" w14:textId="77777777" w:rsidR="004C2836" w:rsidRDefault="00000000">
      <w:pPr>
        <w:spacing w:after="140" w:line="276" w:lineRule="auto"/>
        <w:jc w:val="both"/>
      </w:pPr>
      <w:r>
        <w:t>Zoals toegelicht in hoofdstuk 2, zijn alle onderliggende waarnemingen afkomstig van bedrijven die zich met een probleem meldden. Dit heeft drie belangrijke implicaties voor de interpretatie:</w:t>
      </w:r>
    </w:p>
    <w:p w14:paraId="20A7F31B" w14:textId="77777777" w:rsidR="004C2836" w:rsidRDefault="00000000">
      <w:pPr>
        <w:pStyle w:val="Lijstalinea"/>
        <w:numPr>
          <w:ilvl w:val="0"/>
          <w:numId w:val="2"/>
        </w:numPr>
        <w:spacing w:after="80" w:line="276" w:lineRule="auto"/>
        <w:jc w:val="both"/>
      </w:pPr>
      <w:r>
        <w:rPr>
          <w:b/>
          <w:bCs/>
        </w:rPr>
        <w:t xml:space="preserve">Regressie naar het gemiddelde: </w:t>
      </w:r>
      <w:r>
        <w:t>een bedrijf met een acuut probleem (bijvoorbeeld hoge boterzuurwaarden of veel stille tochtigheid) heeft een grotere kans op spontane verbetering, simpelweg omdat de uitgangssituatie extreem was.</w:t>
      </w:r>
    </w:p>
    <w:p w14:paraId="20A7F31C" w14:textId="77777777" w:rsidR="004C2836" w:rsidRDefault="00000000">
      <w:pPr>
        <w:pStyle w:val="Lijstalinea"/>
        <w:numPr>
          <w:ilvl w:val="0"/>
          <w:numId w:val="2"/>
        </w:numPr>
        <w:spacing w:after="80" w:line="276" w:lineRule="auto"/>
        <w:jc w:val="both"/>
      </w:pPr>
      <w:r>
        <w:rPr>
          <w:b/>
          <w:bCs/>
        </w:rPr>
        <w:t xml:space="preserve">Bevestigingsbias: </w:t>
      </w:r>
      <w:r>
        <w:t>veehouders en klauwverzorgers die weten dat een product is toegediend, zijn eerder geneigd verbetering waar te nemen en te melden dan verslechtering of geen effect (publicatiebias richting positieve verhalen).</w:t>
      </w:r>
    </w:p>
    <w:p w14:paraId="20A7F31D" w14:textId="77777777" w:rsidR="004C2836" w:rsidRDefault="00000000">
      <w:pPr>
        <w:pStyle w:val="Lijstalinea"/>
        <w:numPr>
          <w:ilvl w:val="0"/>
          <w:numId w:val="2"/>
        </w:numPr>
        <w:spacing w:after="80" w:line="276" w:lineRule="auto"/>
        <w:jc w:val="both"/>
      </w:pPr>
      <w:r>
        <w:rPr>
          <w:b/>
          <w:bCs/>
        </w:rPr>
        <w:t xml:space="preserve">Co-interventie: </w:t>
      </w:r>
      <w:r>
        <w:t>bij een gemeld probleem wordt vaak niet uitsluitend Immutines™ ingezet, maar ook rantsoenaanpassing, extra begeleiding door de dierenarts, of andere managementmaatregelen, waardoor het effect niet te isoleren is.</w:t>
      </w:r>
    </w:p>
    <w:p w14:paraId="20A7F31E" w14:textId="77777777" w:rsidR="004C2836" w:rsidRDefault="00000000">
      <w:pPr>
        <w:spacing w:before="120" w:after="140" w:line="276" w:lineRule="auto"/>
        <w:jc w:val="both"/>
      </w:pPr>
      <w:r>
        <w:t>Deze factoren betekenen niet dat de waargenomen effecten niet bestaan, maar wel dat de huidige gegevens niet toelaten om vast te stellen hoeveel van het waargenomen effect aan Immutines™ zelf is toe te schrijven.</w:t>
      </w:r>
    </w:p>
    <w:p w14:paraId="20A7F31F" w14:textId="77777777" w:rsidR="004C2836" w:rsidRDefault="00000000">
      <w:pPr>
        <w:pStyle w:val="Kop2"/>
      </w:pPr>
      <w:r>
        <w:t>5.3 Wat de herhaling van de waarnemingen wél waard is</w:t>
      </w:r>
    </w:p>
    <w:p w14:paraId="20A7F320" w14:textId="77777777" w:rsidR="004C2836" w:rsidRDefault="00000000">
      <w:pPr>
        <w:spacing w:after="140" w:line="276" w:lineRule="auto"/>
        <w:jc w:val="both"/>
      </w:pPr>
      <w:r>
        <w:t>Ondanks de genoemde beperkingen is het niet triviaal dat vergelijkbare meldingen — met name rond tochtigheid, opschonen, haarkleed en hoefkwaliteit — zich over twintig jaar en bij uiteenlopende, onderling niet verbonden bedrijven herhalen. Consistentie van het signaal over tijd en over onafhankelijke waarnemers is precies het soort informatie dat gebruikt wordt om hypothesen te prioriteren voor verder onderzoek, ook al bewijst het niets op zichzelf.</w:t>
      </w:r>
    </w:p>
    <w:p w14:paraId="20A7F321" w14:textId="77777777" w:rsidR="004C2836" w:rsidRDefault="00000000">
      <w:pPr>
        <w:pStyle w:val="Kop1"/>
      </w:pPr>
      <w:r>
        <w:t>6. Disclaimer en verantwoord gebruik</w:t>
      </w:r>
    </w:p>
    <w:p w14:paraId="20A7F322" w14:textId="77777777" w:rsidR="004C2836" w:rsidRDefault="00000000">
      <w:pPr>
        <w:spacing w:after="140" w:line="276" w:lineRule="auto"/>
        <w:jc w:val="both"/>
      </w:pPr>
      <w:r>
        <w:t>Dit rapport is geen vervanging voor veterinaire diagnostiek en behandeling. Bij verdenking van botulisme (Clostridium botulinum), Clostridium perfringens-infectie, of Salmonella-uitbraken dient altijd een dierenarts te worden ingeschakeld, zeker bij acute klinische verschijnselen (verlamming, sloomheid, koorts, sterfte). De in dit rapport beschreven protocollen zijn gebaseerd op praktijkervaring met wisselend en niet gegarandeerd succes, en mogen niet worden gebruikt als reden om reguliere diagnostiek of behandeling uit te stellen.</w:t>
      </w:r>
    </w:p>
    <w:p w14:paraId="20A7F323" w14:textId="77777777" w:rsidR="004C2836" w:rsidRDefault="00000000">
      <w:pPr>
        <w:spacing w:after="140" w:line="276" w:lineRule="auto"/>
        <w:jc w:val="both"/>
      </w:pPr>
      <w:r>
        <w:lastRenderedPageBreak/>
        <w:t>Immutines™ en Impactpoeder worden in dit rapport beschreven als ondersteunende, op praktijkervaring gebaseerde maatregelen binnen een breder rantsoen- en gezondheidsmanagement, niet als bewezen geneesmiddel of als vervanging voor diergeneeskundige zorg.</w:t>
      </w:r>
    </w:p>
    <w:p w14:paraId="20A7F324" w14:textId="77777777" w:rsidR="004C2836" w:rsidRDefault="00000000">
      <w:pPr>
        <w:pStyle w:val="Kop1"/>
      </w:pPr>
      <w:r>
        <w:t>7. Aanbevelingen voor vervolgonderzoek</w:t>
      </w:r>
    </w:p>
    <w:p w14:paraId="20A7F325" w14:textId="77777777" w:rsidR="004C2836" w:rsidRDefault="00000000">
      <w:pPr>
        <w:spacing w:after="140" w:line="276" w:lineRule="auto"/>
        <w:jc w:val="both"/>
      </w:pPr>
      <w:r>
        <w:t>Om de hier beschreven observaties op een betaalbare wijze verder te toetsen, zonder direct de volledige (€250.000) onderzoeksomvang die door Wageningen University &amp; Research werd geschetst, kunnen de volgende stappen worden overwogen:</w:t>
      </w:r>
    </w:p>
    <w:p w14:paraId="20A7F326" w14:textId="77777777" w:rsidR="004C2836" w:rsidRDefault="00000000">
      <w:pPr>
        <w:pStyle w:val="Lijstalinea"/>
        <w:numPr>
          <w:ilvl w:val="0"/>
          <w:numId w:val="2"/>
        </w:numPr>
        <w:spacing w:after="80" w:line="276" w:lineRule="auto"/>
        <w:jc w:val="both"/>
      </w:pPr>
      <w:r>
        <w:rPr>
          <w:b/>
          <w:bCs/>
        </w:rPr>
        <w:t xml:space="preserve">Gestructureerde, prospectieve dataverzameling: </w:t>
      </w:r>
      <w:r>
        <w:t>vanaf nu bij elk deelnemend bedrijf vooraf vastleggen van uitgangswaarden (tochtigheidsscore, boterzuurgehalte, klauwhoornhardheid) vóór start van Immutines™-gebruik, in plaats van uitsluitend achteraf gerapporteerde indrukken.</w:t>
      </w:r>
    </w:p>
    <w:p w14:paraId="20A7F327" w14:textId="77777777" w:rsidR="004C2836" w:rsidRDefault="00000000">
      <w:pPr>
        <w:pStyle w:val="Lijstalinea"/>
        <w:numPr>
          <w:ilvl w:val="0"/>
          <w:numId w:val="2"/>
        </w:numPr>
        <w:spacing w:after="80" w:line="276" w:lineRule="auto"/>
        <w:jc w:val="both"/>
      </w:pPr>
      <w:r>
        <w:rPr>
          <w:b/>
          <w:bCs/>
        </w:rPr>
        <w:t xml:space="preserve">Interne controlevergelijking: </w:t>
      </w:r>
      <w:r>
        <w:t>bij bedrijven met meerdere vergelijkbare koppels, één koppel behandelen en één koppel (tijdelijk) niet, om ten minste een beperkte, praktijkinterne vergelijking te creëren.</w:t>
      </w:r>
    </w:p>
    <w:p w14:paraId="20A7F328" w14:textId="77777777" w:rsidR="004C2836" w:rsidRDefault="00000000">
      <w:pPr>
        <w:pStyle w:val="Lijstalinea"/>
        <w:numPr>
          <w:ilvl w:val="0"/>
          <w:numId w:val="2"/>
        </w:numPr>
        <w:spacing w:after="80" w:line="276" w:lineRule="auto"/>
        <w:jc w:val="both"/>
      </w:pPr>
      <w:r>
        <w:rPr>
          <w:b/>
          <w:bCs/>
        </w:rPr>
        <w:t xml:space="preserve">Gefaseerde, kleinschalige pilot: </w:t>
      </w:r>
      <w:r>
        <w:t>in samenwerking met een hogeschool (bijvoorbeeld Aeres of Van Hall Larenstein) of een lokale dierenartsenpraktijk, tegen aanzienlijk lagere kosten dan een volledige WUR-studie, gericht op één concrete uitkomstmaat (bijvoorbeeld boterzuurreductie of klauwhoornhardheid) met een beperkt aantal bedrijven.</w:t>
      </w:r>
    </w:p>
    <w:p w14:paraId="20A7F329" w14:textId="77777777" w:rsidR="004C2836" w:rsidRDefault="00000000">
      <w:pPr>
        <w:pStyle w:val="Lijstalinea"/>
        <w:numPr>
          <w:ilvl w:val="0"/>
          <w:numId w:val="2"/>
        </w:numPr>
        <w:spacing w:after="80" w:line="276" w:lineRule="auto"/>
        <w:jc w:val="both"/>
      </w:pPr>
      <w:r>
        <w:rPr>
          <w:b/>
          <w:bCs/>
        </w:rPr>
        <w:t xml:space="preserve">Prioriteren op basis van dit rapport: </w:t>
      </w:r>
      <w:r>
        <w:t>gezien de consistentie van de meldingen, verdienen boterzuurreductie en klauwhoornkwaliteit de voorkeur als eerste toetsbare uitkomstmaten, omdat deze objectief en relatief goedkoop te meten zijn (VFA-analyse, hoornhardheidsmeting).</w:t>
      </w:r>
    </w:p>
    <w:p w14:paraId="20A7F32A" w14:textId="77777777" w:rsidR="004C2836" w:rsidRDefault="00000000">
      <w:pPr>
        <w:pStyle w:val="Lijstalinea"/>
        <w:numPr>
          <w:ilvl w:val="0"/>
          <w:numId w:val="2"/>
        </w:numPr>
        <w:spacing w:after="80" w:line="276" w:lineRule="auto"/>
        <w:jc w:val="both"/>
      </w:pPr>
      <w:r>
        <w:rPr>
          <w:b/>
          <w:bCs/>
        </w:rPr>
        <w:t xml:space="preserve">Heroverweging van het gesprek met Jan Dijkstra: </w:t>
      </w:r>
      <w:r>
        <w:t>een veel kleiner afgebakende onderzoeksvraag (bijvoorbeeld alleen boterzuur, in plaats van alle 89 elementen) kan mogelijk tegen een fractie van de eerder genoemde kosten worden onderzocht.</w:t>
      </w:r>
    </w:p>
    <w:p w14:paraId="20A7F32B" w14:textId="77777777" w:rsidR="004C2836" w:rsidRDefault="00000000">
      <w:pPr>
        <w:pStyle w:val="Kop1"/>
      </w:pPr>
      <w:r>
        <w:t>8. Referenties</w:t>
      </w:r>
    </w:p>
    <w:p w14:paraId="20A7F32C" w14:textId="77777777" w:rsidR="004C2836" w:rsidRDefault="00000000">
      <w:pPr>
        <w:pStyle w:val="Lijstalinea"/>
        <w:numPr>
          <w:ilvl w:val="0"/>
          <w:numId w:val="3"/>
        </w:numPr>
        <w:spacing w:after="80"/>
      </w:pPr>
      <w:r>
        <w:rPr>
          <w:sz w:val="19"/>
          <w:szCs w:val="19"/>
        </w:rPr>
        <w:t>Farm Advisory Service Scotland. Cattle mineral supplementation. FAS.scot [internet]. Beschikbaar via: https://www.fas.scot/article/cattle-mineral-supplementation/</w:t>
      </w:r>
    </w:p>
    <w:p w14:paraId="20A7F32D" w14:textId="77777777" w:rsidR="004C2836" w:rsidRDefault="00000000">
      <w:pPr>
        <w:pStyle w:val="Lijstalinea"/>
        <w:numPr>
          <w:ilvl w:val="0"/>
          <w:numId w:val="3"/>
        </w:numPr>
        <w:spacing w:after="80"/>
      </w:pPr>
      <w:r>
        <w:rPr>
          <w:sz w:val="19"/>
          <w:szCs w:val="19"/>
        </w:rPr>
        <w:t>Ohio State University Extension. Should you consider reducing mineral supplementation in periods of low milk prices? Buckeye Dairy News, Vol. 22, Issue 3. Beschikbaar via: https://dairy.osu.edu/newsletter/buckeye-dairy-news/volume-22-issue-3/should-you-consider-reducing-mineral-supplementation</w:t>
      </w:r>
    </w:p>
    <w:p w14:paraId="20A7F32E" w14:textId="77777777" w:rsidR="004C2836" w:rsidRDefault="00000000">
      <w:pPr>
        <w:pStyle w:val="Lijstalinea"/>
        <w:numPr>
          <w:ilvl w:val="0"/>
          <w:numId w:val="3"/>
        </w:numPr>
        <w:spacing w:after="80"/>
      </w:pPr>
      <w:r>
        <w:rPr>
          <w:sz w:val="19"/>
          <w:szCs w:val="19"/>
        </w:rPr>
        <w:t>Beef Magazine. 5 things to consider when looking at mineral supplementation. Beschikbaar via: https://www.beefmagazine.com/nutrition/5-things-consider-when-looking-mineral-supplementation (met verwijzing naar Spears JW, et al. 2004, betreffende biobeschikbaarheid van hydroxyspoorelementen).</w:t>
      </w:r>
    </w:p>
    <w:p w14:paraId="20A7F32F" w14:textId="77777777" w:rsidR="004C2836" w:rsidRDefault="00000000">
      <w:pPr>
        <w:pStyle w:val="Lijstalinea"/>
        <w:numPr>
          <w:ilvl w:val="0"/>
          <w:numId w:val="3"/>
        </w:numPr>
        <w:spacing w:after="80"/>
      </w:pPr>
      <w:r>
        <w:rPr>
          <w:sz w:val="19"/>
          <w:szCs w:val="19"/>
        </w:rPr>
        <w:t>Diallo BT. Mineral metabolism and health status of dairy cattle fed adjusted mineral supplementation. Presentatie, Animine/INRAE, EAAP 2024. Beschikbaar via: https://docs.eaap.org/2024/m221/S49T01.pdf</w:t>
      </w:r>
    </w:p>
    <w:p w14:paraId="20A7F330" w14:textId="77777777" w:rsidR="004C2836" w:rsidRDefault="00000000">
      <w:pPr>
        <w:pStyle w:val="Lijstalinea"/>
        <w:numPr>
          <w:ilvl w:val="0"/>
          <w:numId w:val="3"/>
        </w:numPr>
        <w:spacing w:after="80"/>
      </w:pPr>
      <w:r>
        <w:rPr>
          <w:sz w:val="19"/>
          <w:szCs w:val="19"/>
        </w:rPr>
        <w:t>The Cattle Site. Mineral interactions and supplementation for beef cows. Ohio State University Extension Beef Team. Beschikbaar via: https://www.thecattlesite.com/articles/1787/mineral-interactions-and-supplementation-for-beef-cows</w:t>
      </w:r>
    </w:p>
    <w:p w14:paraId="20A7F331" w14:textId="77777777" w:rsidR="004C2836" w:rsidRDefault="00000000">
      <w:pPr>
        <w:pStyle w:val="Lijstalinea"/>
        <w:numPr>
          <w:ilvl w:val="0"/>
          <w:numId w:val="3"/>
        </w:numPr>
        <w:spacing w:after="80"/>
      </w:pPr>
      <w:r>
        <w:rPr>
          <w:sz w:val="19"/>
          <w:szCs w:val="19"/>
        </w:rPr>
        <w:t>Virginia Tech Cooperative Extension. Trace mineral supplementation is often times confusing. Engormix, 2008. Beschikbaar via: https://en.engormix.com/MA-dairy-cattle/news/trace-mineral-supplementation-often-t12396/p0.htm</w:t>
      </w:r>
    </w:p>
    <w:p w14:paraId="20A7F332" w14:textId="77777777" w:rsidR="004C2836" w:rsidRDefault="00000000">
      <w:pPr>
        <w:pStyle w:val="Lijstalinea"/>
        <w:numPr>
          <w:ilvl w:val="0"/>
          <w:numId w:val="3"/>
        </w:numPr>
        <w:spacing w:after="80"/>
      </w:pPr>
      <w:r>
        <w:rPr>
          <w:sz w:val="19"/>
          <w:szCs w:val="19"/>
        </w:rPr>
        <w:lastRenderedPageBreak/>
        <w:t>Hoard's Dairyman. Forages fit for fresh cows. Beschikbaar via: https://hoards.com/article-24873-Forages-fit-for-fresh-cows.html</w:t>
      </w:r>
    </w:p>
    <w:p w14:paraId="20A7F333" w14:textId="77777777" w:rsidR="004C2836" w:rsidRDefault="00000000">
      <w:pPr>
        <w:pStyle w:val="Lijstalinea"/>
        <w:numPr>
          <w:ilvl w:val="0"/>
          <w:numId w:val="3"/>
        </w:numPr>
        <w:spacing w:after="80"/>
      </w:pPr>
      <w:r>
        <w:rPr>
          <w:sz w:val="19"/>
          <w:szCs w:val="19"/>
        </w:rPr>
        <w:t>Vita Plus (Windle M). Avoid the stink: clostridia and butyric fermentation in silage. Beschikbaar via: https://www.vitaplus.com/?p=2029</w:t>
      </w:r>
    </w:p>
    <w:p w14:paraId="20A7F334" w14:textId="77777777" w:rsidR="004C2836" w:rsidRDefault="00000000">
      <w:pPr>
        <w:pStyle w:val="Lijstalinea"/>
        <w:numPr>
          <w:ilvl w:val="0"/>
          <w:numId w:val="3"/>
        </w:numPr>
        <w:spacing w:after="80"/>
      </w:pPr>
      <w:r>
        <w:rPr>
          <w:sz w:val="19"/>
          <w:szCs w:val="19"/>
        </w:rPr>
        <w:t>University of Vermont Extension (Machia A, Darby H). Clostridial contamination in forage — botulism, blackleg and related risks. Dec 2023. Beschikbaar via: https://www.uvm.edu/d10-files/documents/2024-06/Clostridial_Contamination_Dec2023.pdf</w:t>
      </w:r>
    </w:p>
    <w:p w14:paraId="20A7F335" w14:textId="77777777" w:rsidR="004C2836" w:rsidRDefault="00000000">
      <w:pPr>
        <w:pStyle w:val="Lijstalinea"/>
        <w:numPr>
          <w:ilvl w:val="0"/>
          <w:numId w:val="3"/>
        </w:numPr>
        <w:spacing w:after="80"/>
      </w:pPr>
      <w:r>
        <w:rPr>
          <w:sz w:val="19"/>
          <w:szCs w:val="19"/>
        </w:rPr>
        <w:t>Lallemand Animal Nutrition (Magniva). Clostridial fermentation: causes, risks and management in silage. Beschikbaar via: https://magniva.lallemandanimalnutrition.com/en/usa/make-quality-silage/avoid-pitfalls/clostridial-fermentation/</w:t>
      </w:r>
    </w:p>
    <w:p w14:paraId="20A7F336" w14:textId="77777777" w:rsidR="004C2836" w:rsidRDefault="00000000">
      <w:pPr>
        <w:pStyle w:val="Lijstalinea"/>
        <w:numPr>
          <w:ilvl w:val="0"/>
          <w:numId w:val="3"/>
        </w:numPr>
        <w:spacing w:after="80"/>
      </w:pPr>
      <w:r>
        <w:rPr>
          <w:sz w:val="19"/>
          <w:szCs w:val="19"/>
        </w:rPr>
        <w:t>Jacobsen S. Vier mineralen meten in één bloedmonster. Melkvee.nl / Gezondheidsdienst voor Dieren (GD). Beschikbaar via: https://melkvee.nl/artikel/57594-vier-mineralen-meten-in-een-bloedmonster</w:t>
      </w:r>
    </w:p>
    <w:p w14:paraId="20A7F337" w14:textId="77777777" w:rsidR="004C2836" w:rsidRDefault="00000000">
      <w:pPr>
        <w:pStyle w:val="Lijstalinea"/>
        <w:numPr>
          <w:ilvl w:val="0"/>
          <w:numId w:val="3"/>
        </w:numPr>
        <w:spacing w:after="80"/>
      </w:pPr>
      <w:r>
        <w:rPr>
          <w:sz w:val="19"/>
          <w:szCs w:val="19"/>
        </w:rPr>
        <w:t>Veling J, Muskens J (Gezondheidsdienst voor Dieren). GD-masterclass 'Minder of meer mineralen voeren': op meer dan 25% van de melkveebedrijven verminderde sporenelementvoorziening op basis van tankmelkonderzoek. Wageningen University &amp; Research. Beschikbaar via: https://edepot.wur.nl/331991</w:t>
      </w:r>
    </w:p>
    <w:p w14:paraId="20A7F338" w14:textId="77777777" w:rsidR="004C2836" w:rsidRDefault="00000000">
      <w:pPr>
        <w:pStyle w:val="Lijstalinea"/>
        <w:numPr>
          <w:ilvl w:val="0"/>
          <w:numId w:val="3"/>
        </w:numPr>
        <w:spacing w:after="80"/>
      </w:pPr>
      <w:r>
        <w:rPr>
          <w:sz w:val="19"/>
          <w:szCs w:val="19"/>
        </w:rPr>
        <w:t>Wageningen University &amp; Research. Seleniumstatus van rundvee bij overgang naar de weide; seleniumtekort bij circa 15% van de dieren in mei. Beschikbaar via: https://edepot.wur.nl/168536</w:t>
      </w:r>
    </w:p>
    <w:p w14:paraId="20A7F339" w14:textId="77777777" w:rsidR="004C2836" w:rsidRDefault="00000000">
      <w:pPr>
        <w:pStyle w:val="Lijstalinea"/>
        <w:numPr>
          <w:ilvl w:val="0"/>
          <w:numId w:val="3"/>
        </w:numPr>
        <w:spacing w:after="80"/>
      </w:pPr>
      <w:r>
        <w:rPr>
          <w:sz w:val="19"/>
          <w:szCs w:val="19"/>
        </w:rPr>
        <w:t>BLGG AgroXpertus (Reijneveld A). 'Nutriëntentekort bodem steeds zichtbaarder': effect van aangescherpte mestwetgeving (Minas) op sporenelementen zink, ijzer en koper in de bodem. Melkvee.nl. Beschikbaar via: https://melkvee.nl/artikel/48184-nutriententekort-bodem-steeds-zichtbaarder</w:t>
      </w:r>
    </w:p>
    <w:p w14:paraId="20A7F33A" w14:textId="77777777" w:rsidR="004C2836" w:rsidRDefault="00000000">
      <w:pPr>
        <w:pStyle w:val="Lijstalinea"/>
        <w:numPr>
          <w:ilvl w:val="0"/>
          <w:numId w:val="3"/>
        </w:numPr>
        <w:spacing w:after="80"/>
      </w:pPr>
      <w:r>
        <w:rPr>
          <w:sz w:val="19"/>
          <w:szCs w:val="19"/>
        </w:rPr>
        <w:t>Briland E, Kronqvist C. Magnesiumabsorptie bij melkvee: gemiddelde absorptiecoëfficiënt, invloed van de kalium/magnesium-verhouding en variabele kwaliteit van magnesiumoxide. Sveriges lantbruksuniversitet (SLU), studentenrapport. Beschikbaar via: https://stud.epsilon.slu.se/12396/1/briland_e_kronqvist_c_171018.pdf</w:t>
      </w:r>
    </w:p>
    <w:p w14:paraId="20A7F33B" w14:textId="77777777" w:rsidR="004C2836" w:rsidRDefault="00000000">
      <w:pPr>
        <w:pStyle w:val="Lijstalinea"/>
        <w:numPr>
          <w:ilvl w:val="0"/>
          <w:numId w:val="3"/>
        </w:numPr>
        <w:spacing w:after="80"/>
      </w:pPr>
      <w:r>
        <w:rPr>
          <w:sz w:val="19"/>
          <w:szCs w:val="19"/>
        </w:rPr>
        <w:t>Landbrugsavisen. Sådan holder du køerne i balance med magnesium: kaliumremming van magnesiumopname reeds bij 1–3% kalium van de droge stof. Beschikbaar via: https://landbrugsavisen.dk/kvaeg/saadan-holder-du-koeerne-i-balance-med-magnesium-151779</w:t>
      </w:r>
    </w:p>
    <w:p w14:paraId="20A7F33C" w14:textId="77777777" w:rsidR="004C2836" w:rsidRDefault="00000000">
      <w:pPr>
        <w:spacing w:before="400"/>
        <w:jc w:val="center"/>
      </w:pPr>
      <w:r>
        <w:rPr>
          <w:i/>
          <w:iCs/>
          <w:color w:val="666666"/>
          <w:sz w:val="18"/>
          <w:szCs w:val="18"/>
        </w:rPr>
        <w:t>Auteur: H. Heida — Koolstofkring BV — Independent Practice Review — 16 september 2026</w:t>
      </w:r>
    </w:p>
    <w:sectPr w:rsidR="004C2836">
      <w:headerReference w:type="default" r:id="rId7"/>
      <w:footerReference w:type="defaul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66469B" w14:textId="77777777" w:rsidR="008519E4" w:rsidRDefault="008519E4">
      <w:r>
        <w:separator/>
      </w:r>
    </w:p>
  </w:endnote>
  <w:endnote w:type="continuationSeparator" w:id="0">
    <w:p w14:paraId="4228838A" w14:textId="77777777" w:rsidR="008519E4" w:rsidRDefault="008519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A7F33E" w14:textId="3D4ED210" w:rsidR="004C2836" w:rsidRDefault="00000000">
    <w:pPr>
      <w:jc w:val="center"/>
    </w:pPr>
    <w:r>
      <w:rPr>
        <w:color w:val="666666"/>
        <w:sz w:val="18"/>
        <w:szCs w:val="18"/>
      </w:rPr>
      <w:t xml:space="preserve">Pagina </w:t>
    </w:r>
    <w:r>
      <w:rPr>
        <w:color w:val="666666"/>
        <w:sz w:val="18"/>
        <w:szCs w:val="18"/>
      </w:rPr>
      <w:fldChar w:fldCharType="begin"/>
    </w:r>
    <w:r>
      <w:rPr>
        <w:color w:val="666666"/>
        <w:sz w:val="18"/>
        <w:szCs w:val="18"/>
      </w:rPr>
      <w:instrText>PAGE</w:instrText>
    </w:r>
    <w:r>
      <w:rPr>
        <w:color w:val="666666"/>
        <w:sz w:val="18"/>
        <w:szCs w:val="18"/>
      </w:rPr>
      <w:fldChar w:fldCharType="separate"/>
    </w:r>
    <w:r w:rsidR="00852101">
      <w:rPr>
        <w:noProof/>
        <w:color w:val="666666"/>
        <w:sz w:val="18"/>
        <w:szCs w:val="18"/>
      </w:rPr>
      <w:t>2</w:t>
    </w:r>
    <w:r>
      <w:rPr>
        <w:color w:val="666666"/>
        <w:sz w:val="18"/>
        <w:szCs w:val="18"/>
      </w:rPr>
      <w:fldChar w:fldCharType="end"/>
    </w:r>
    <w:r>
      <w:rPr>
        <w:color w:val="666666"/>
        <w:sz w:val="18"/>
        <w:szCs w:val="18"/>
      </w:rPr>
      <w:t xml:space="preserve"> van </w:t>
    </w:r>
    <w:r>
      <w:rPr>
        <w:color w:val="666666"/>
        <w:sz w:val="18"/>
        <w:szCs w:val="18"/>
      </w:rPr>
      <w:fldChar w:fldCharType="begin"/>
    </w:r>
    <w:r>
      <w:rPr>
        <w:color w:val="666666"/>
        <w:sz w:val="18"/>
        <w:szCs w:val="18"/>
      </w:rPr>
      <w:instrText>NUMPAGES</w:instrText>
    </w:r>
    <w:r>
      <w:rPr>
        <w:color w:val="666666"/>
        <w:sz w:val="18"/>
        <w:szCs w:val="18"/>
      </w:rPr>
      <w:fldChar w:fldCharType="separate"/>
    </w:r>
    <w:r w:rsidR="00852101">
      <w:rPr>
        <w:noProof/>
        <w:color w:val="666666"/>
        <w:sz w:val="18"/>
        <w:szCs w:val="18"/>
      </w:rPr>
      <w:t>3</w:t>
    </w:r>
    <w:r>
      <w:rPr>
        <w:color w:val="666666"/>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4BCF26" w14:textId="77777777" w:rsidR="008519E4" w:rsidRDefault="008519E4">
      <w:r>
        <w:separator/>
      </w:r>
    </w:p>
  </w:footnote>
  <w:footnote w:type="continuationSeparator" w:id="0">
    <w:p w14:paraId="519562E3" w14:textId="77777777" w:rsidR="008519E4" w:rsidRDefault="008519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A7F33D" w14:textId="77777777" w:rsidR="004C2836" w:rsidRDefault="00000000">
    <w:pPr>
      <w:jc w:val="right"/>
    </w:pPr>
    <w:r>
      <w:rPr>
        <w:color w:val="666666"/>
        <w:sz w:val="18"/>
        <w:szCs w:val="18"/>
      </w:rPr>
      <w:t>Koolstofkring BV — Immutines™ praktijkrapport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FF1A8D"/>
    <w:multiLevelType w:val="hybridMultilevel"/>
    <w:tmpl w:val="98CC59D8"/>
    <w:lvl w:ilvl="0" w:tplc="50CC0DA4">
      <w:start w:val="1"/>
      <w:numFmt w:val="bullet"/>
      <w:lvlText w:val="•"/>
      <w:lvlJc w:val="left"/>
      <w:pPr>
        <w:ind w:left="720" w:hanging="360"/>
      </w:pPr>
    </w:lvl>
    <w:lvl w:ilvl="1" w:tplc="92C61F56">
      <w:numFmt w:val="decimal"/>
      <w:lvlText w:val=""/>
      <w:lvlJc w:val="left"/>
    </w:lvl>
    <w:lvl w:ilvl="2" w:tplc="AB9C266C">
      <w:numFmt w:val="decimal"/>
      <w:lvlText w:val=""/>
      <w:lvlJc w:val="left"/>
    </w:lvl>
    <w:lvl w:ilvl="3" w:tplc="807451E6">
      <w:numFmt w:val="decimal"/>
      <w:lvlText w:val=""/>
      <w:lvlJc w:val="left"/>
    </w:lvl>
    <w:lvl w:ilvl="4" w:tplc="4BD6A660">
      <w:numFmt w:val="decimal"/>
      <w:lvlText w:val=""/>
      <w:lvlJc w:val="left"/>
    </w:lvl>
    <w:lvl w:ilvl="5" w:tplc="3E4688B2">
      <w:numFmt w:val="decimal"/>
      <w:lvlText w:val=""/>
      <w:lvlJc w:val="left"/>
    </w:lvl>
    <w:lvl w:ilvl="6" w:tplc="7F569612">
      <w:numFmt w:val="decimal"/>
      <w:lvlText w:val=""/>
      <w:lvlJc w:val="left"/>
    </w:lvl>
    <w:lvl w:ilvl="7" w:tplc="C64AA6C2">
      <w:numFmt w:val="decimal"/>
      <w:lvlText w:val=""/>
      <w:lvlJc w:val="left"/>
    </w:lvl>
    <w:lvl w:ilvl="8" w:tplc="060683D8">
      <w:numFmt w:val="decimal"/>
      <w:lvlText w:val=""/>
      <w:lvlJc w:val="left"/>
    </w:lvl>
  </w:abstractNum>
  <w:abstractNum w:abstractNumId="1" w15:restartNumberingAfterBreak="0">
    <w:nsid w:val="65E55B91"/>
    <w:multiLevelType w:val="hybridMultilevel"/>
    <w:tmpl w:val="055867CE"/>
    <w:lvl w:ilvl="0" w:tplc="BC44F5B0">
      <w:start w:val="1"/>
      <w:numFmt w:val="decimal"/>
      <w:lvlText w:val="%1."/>
      <w:lvlJc w:val="left"/>
      <w:pPr>
        <w:ind w:left="540" w:hanging="540"/>
      </w:pPr>
    </w:lvl>
    <w:lvl w:ilvl="1" w:tplc="0EE49736">
      <w:numFmt w:val="decimal"/>
      <w:lvlText w:val=""/>
      <w:lvlJc w:val="left"/>
    </w:lvl>
    <w:lvl w:ilvl="2" w:tplc="63983F2C">
      <w:numFmt w:val="decimal"/>
      <w:lvlText w:val=""/>
      <w:lvlJc w:val="left"/>
    </w:lvl>
    <w:lvl w:ilvl="3" w:tplc="FA368F78">
      <w:numFmt w:val="decimal"/>
      <w:lvlText w:val=""/>
      <w:lvlJc w:val="left"/>
    </w:lvl>
    <w:lvl w:ilvl="4" w:tplc="57281026">
      <w:numFmt w:val="decimal"/>
      <w:lvlText w:val=""/>
      <w:lvlJc w:val="left"/>
    </w:lvl>
    <w:lvl w:ilvl="5" w:tplc="DB04DF54">
      <w:numFmt w:val="decimal"/>
      <w:lvlText w:val=""/>
      <w:lvlJc w:val="left"/>
    </w:lvl>
    <w:lvl w:ilvl="6" w:tplc="36A6E19C">
      <w:numFmt w:val="decimal"/>
      <w:lvlText w:val=""/>
      <w:lvlJc w:val="left"/>
    </w:lvl>
    <w:lvl w:ilvl="7" w:tplc="AD8695B2">
      <w:numFmt w:val="decimal"/>
      <w:lvlText w:val=""/>
      <w:lvlJc w:val="left"/>
    </w:lvl>
    <w:lvl w:ilvl="8" w:tplc="4C003202">
      <w:numFmt w:val="decimal"/>
      <w:lvlText w:val=""/>
      <w:lvlJc w:val="left"/>
    </w:lvl>
  </w:abstractNum>
  <w:abstractNum w:abstractNumId="2" w15:restartNumberingAfterBreak="0">
    <w:nsid w:val="66161676"/>
    <w:multiLevelType w:val="hybridMultilevel"/>
    <w:tmpl w:val="8E0016A0"/>
    <w:lvl w:ilvl="0" w:tplc="585AC92A">
      <w:start w:val="1"/>
      <w:numFmt w:val="bullet"/>
      <w:lvlText w:val="●"/>
      <w:lvlJc w:val="left"/>
      <w:pPr>
        <w:ind w:left="720" w:hanging="360"/>
      </w:pPr>
    </w:lvl>
    <w:lvl w:ilvl="1" w:tplc="D22468B0">
      <w:start w:val="1"/>
      <w:numFmt w:val="bullet"/>
      <w:lvlText w:val="○"/>
      <w:lvlJc w:val="left"/>
      <w:pPr>
        <w:ind w:left="1440" w:hanging="360"/>
      </w:pPr>
    </w:lvl>
    <w:lvl w:ilvl="2" w:tplc="A128F880">
      <w:start w:val="1"/>
      <w:numFmt w:val="bullet"/>
      <w:lvlText w:val="■"/>
      <w:lvlJc w:val="left"/>
      <w:pPr>
        <w:ind w:left="2160" w:hanging="360"/>
      </w:pPr>
    </w:lvl>
    <w:lvl w:ilvl="3" w:tplc="D25A6A86">
      <w:start w:val="1"/>
      <w:numFmt w:val="bullet"/>
      <w:lvlText w:val="●"/>
      <w:lvlJc w:val="left"/>
      <w:pPr>
        <w:ind w:left="2880" w:hanging="360"/>
      </w:pPr>
    </w:lvl>
    <w:lvl w:ilvl="4" w:tplc="F2BEF1B2">
      <w:start w:val="1"/>
      <w:numFmt w:val="bullet"/>
      <w:lvlText w:val="○"/>
      <w:lvlJc w:val="left"/>
      <w:pPr>
        <w:ind w:left="3600" w:hanging="360"/>
      </w:pPr>
    </w:lvl>
    <w:lvl w:ilvl="5" w:tplc="ED206264">
      <w:start w:val="1"/>
      <w:numFmt w:val="bullet"/>
      <w:lvlText w:val="■"/>
      <w:lvlJc w:val="left"/>
      <w:pPr>
        <w:ind w:left="4320" w:hanging="360"/>
      </w:pPr>
    </w:lvl>
    <w:lvl w:ilvl="6" w:tplc="13CA720A">
      <w:start w:val="1"/>
      <w:numFmt w:val="bullet"/>
      <w:lvlText w:val="●"/>
      <w:lvlJc w:val="left"/>
      <w:pPr>
        <w:ind w:left="5040" w:hanging="360"/>
      </w:pPr>
    </w:lvl>
    <w:lvl w:ilvl="7" w:tplc="814A6A2A">
      <w:start w:val="1"/>
      <w:numFmt w:val="bullet"/>
      <w:lvlText w:val="●"/>
      <w:lvlJc w:val="left"/>
      <w:pPr>
        <w:ind w:left="5760" w:hanging="360"/>
      </w:pPr>
    </w:lvl>
    <w:lvl w:ilvl="8" w:tplc="366A063A">
      <w:start w:val="1"/>
      <w:numFmt w:val="bullet"/>
      <w:lvlText w:val="●"/>
      <w:lvlJc w:val="left"/>
      <w:pPr>
        <w:ind w:left="6480" w:hanging="360"/>
      </w:pPr>
    </w:lvl>
  </w:abstractNum>
  <w:num w:numId="1" w16cid:durableId="1480002058">
    <w:abstractNumId w:val="2"/>
    <w:lvlOverride w:ilvl="0">
      <w:startOverride w:val="1"/>
    </w:lvlOverride>
  </w:num>
  <w:num w:numId="2" w16cid:durableId="398941020">
    <w:abstractNumId w:val="0"/>
    <w:lvlOverride w:ilvl="0">
      <w:startOverride w:val="1"/>
    </w:lvlOverride>
  </w:num>
  <w:num w:numId="3" w16cid:durableId="659847087">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2836"/>
    <w:rsid w:val="004C2836"/>
    <w:rsid w:val="005547B4"/>
    <w:rsid w:val="006510F1"/>
    <w:rsid w:val="008519E4"/>
    <w:rsid w:val="00852101"/>
    <w:rsid w:val="008D1EFC"/>
    <w:rsid w:val="0097259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A7F2B5"/>
  <w15:docId w15:val="{4C537A6D-3668-4EC6-AA9D-5944E0E675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uiPriority w:val="9"/>
    <w:qFormat/>
    <w:pPr>
      <w:spacing w:before="320" w:after="160"/>
      <w:outlineLvl w:val="0"/>
    </w:pPr>
    <w:rPr>
      <w:b/>
      <w:bCs/>
      <w:color w:val="1F3864"/>
      <w:sz w:val="30"/>
      <w:szCs w:val="30"/>
    </w:rPr>
  </w:style>
  <w:style w:type="paragraph" w:styleId="Kop2">
    <w:name w:val="heading 2"/>
    <w:uiPriority w:val="9"/>
    <w:unhideWhenUsed/>
    <w:qFormat/>
    <w:pPr>
      <w:spacing w:before="240" w:after="120"/>
      <w:outlineLvl w:val="1"/>
    </w:pPr>
    <w:rPr>
      <w:b/>
      <w:bCs/>
      <w:color w:val="2E5597"/>
      <w:sz w:val="25"/>
      <w:szCs w:val="25"/>
    </w:rPr>
  </w:style>
  <w:style w:type="paragraph" w:styleId="Kop3">
    <w:name w:val="heading 3"/>
    <w:uiPriority w:val="9"/>
    <w:unhideWhenUsed/>
    <w:qFormat/>
    <w:pPr>
      <w:spacing w:before="200" w:after="100"/>
      <w:outlineLvl w:val="2"/>
    </w:pPr>
    <w:rPr>
      <w:b/>
      <w:bCs/>
      <w:i/>
      <w:iCs/>
      <w:color w:val="2E5597"/>
    </w:rPr>
  </w:style>
  <w:style w:type="paragraph" w:styleId="Kop4">
    <w:name w:val="heading 4"/>
    <w:uiPriority w:val="9"/>
    <w:semiHidden/>
    <w:unhideWhenUsed/>
    <w:qFormat/>
    <w:pPr>
      <w:outlineLvl w:val="3"/>
    </w:pPr>
    <w:rPr>
      <w:i/>
      <w:iCs/>
      <w:color w:val="2E74B5"/>
    </w:rPr>
  </w:style>
  <w:style w:type="paragraph" w:styleId="Kop5">
    <w:name w:val="heading 5"/>
    <w:uiPriority w:val="9"/>
    <w:semiHidden/>
    <w:unhideWhenUsed/>
    <w:qFormat/>
    <w:pPr>
      <w:outlineLvl w:val="4"/>
    </w:pPr>
    <w:rPr>
      <w:color w:val="2E74B5"/>
    </w:rPr>
  </w:style>
  <w:style w:type="paragraph" w:styleId="Kop6">
    <w:name w:val="heading 6"/>
    <w:uiPriority w:val="9"/>
    <w:semiHidden/>
    <w:unhideWhenUsed/>
    <w:qFormat/>
    <w:pPr>
      <w:outlineLvl w:val="5"/>
    </w:pPr>
    <w:rPr>
      <w:color w:val="1F4D7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itel">
    <w:name w:val="Title"/>
    <w:uiPriority w:val="10"/>
    <w:qFormat/>
    <w:rPr>
      <w:sz w:val="56"/>
      <w:szCs w:val="56"/>
    </w:rPr>
  </w:style>
  <w:style w:type="paragraph" w:customStyle="1" w:styleId="Zwaar1">
    <w:name w:val="Zwaar1"/>
    <w:qFormat/>
    <w:rPr>
      <w:b/>
      <w:bCs/>
    </w:rPr>
  </w:style>
  <w:style w:type="paragraph" w:styleId="Lijstalinea">
    <w:name w:val="List Paragraph"/>
    <w:qFormat/>
  </w:style>
  <w:style w:type="character" w:styleId="Hyperlink">
    <w:name w:val="Hyperlink"/>
    <w:uiPriority w:val="99"/>
    <w:unhideWhenUsed/>
    <w:rPr>
      <w:color w:val="0563C1"/>
      <w:u w:val="single"/>
    </w:rPr>
  </w:style>
  <w:style w:type="character" w:styleId="Voetnootmarkering">
    <w:name w:val="footnote reference"/>
    <w:uiPriority w:val="99"/>
    <w:semiHidden/>
    <w:unhideWhenUsed/>
    <w:rPr>
      <w:vertAlign w:val="superscript"/>
    </w:rPr>
  </w:style>
  <w:style w:type="paragraph" w:styleId="Voetnoottekst">
    <w:name w:val="footnote text"/>
    <w:link w:val="VoetnoottekstChar"/>
    <w:uiPriority w:val="99"/>
    <w:semiHidden/>
    <w:unhideWhenUsed/>
    <w:rPr>
      <w:sz w:val="20"/>
      <w:szCs w:val="20"/>
    </w:rPr>
  </w:style>
  <w:style w:type="character" w:customStyle="1" w:styleId="VoetnoottekstChar">
    <w:name w:val="Voetnoottekst Char"/>
    <w:link w:val="Voetnoottekst"/>
    <w:uiPriority w:val="99"/>
    <w:semiHidden/>
    <w:unhideWhenUsed/>
    <w:rPr>
      <w:sz w:val="20"/>
      <w:szCs w:val="20"/>
    </w:rPr>
  </w:style>
  <w:style w:type="character" w:styleId="Eindnootmarkering">
    <w:name w:val="endnote reference"/>
    <w:uiPriority w:val="99"/>
    <w:semiHidden/>
    <w:unhideWhenUsed/>
    <w:rPr>
      <w:vertAlign w:val="superscript"/>
    </w:rPr>
  </w:style>
  <w:style w:type="paragraph" w:styleId="Eindnoottekst">
    <w:name w:val="endnote text"/>
    <w:link w:val="EindnoottekstChar"/>
    <w:uiPriority w:val="99"/>
    <w:semiHidden/>
    <w:unhideWhenUsed/>
    <w:rPr>
      <w:sz w:val="20"/>
      <w:szCs w:val="20"/>
    </w:rPr>
  </w:style>
  <w:style w:type="character" w:customStyle="1" w:styleId="EindnoottekstChar">
    <w:name w:val="Eindnoottekst Char"/>
    <w:link w:val="Eindnootteks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11</Pages>
  <Words>4821</Words>
  <Characters>26516</Characters>
  <Application>Microsoft Office Word</Application>
  <DocSecurity>0</DocSecurity>
  <Lines>220</Lines>
  <Paragraphs>62</Paragraphs>
  <ScaleCrop>false</ScaleCrop>
  <Company/>
  <LinksUpToDate>false</LinksUpToDate>
  <CharactersWithSpaces>31275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barend hak</cp:lastModifiedBy>
  <cp:revision>5</cp:revision>
  <dcterms:created xsi:type="dcterms:W3CDTF">2026-09-25T07:01:00Z</dcterms:created>
  <dcterms:modified xsi:type="dcterms:W3CDTF">2026-09-25T07:10:00Z</dcterms:modified>
</cp:coreProperties>
</file>