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2400"/>
        <w:jc w:val="center"/>
      </w:pPr>
      <w:r>
        <w:rPr>
          <w:b/>
          <w:bCs/>
          <w:color w:val="1F3864"/>
          <w:sz w:val="40"/>
          <w:szCs w:val="40"/>
        </w:rPr>
        <w:t xml:space="preserve">Field observations and user experiences with Immutines™ in dairy cattle</w:t>
      </w:r>
    </w:p>
    <w:p>
      <w:pPr>
        <w:spacing w:after="600"/>
        <w:jc w:val="center"/>
      </w:pPr>
      <w:r>
        <w:rPr>
          <w:i/>
          <w:iCs/>
          <w:sz w:val="26"/>
          <w:szCs w:val="26"/>
        </w:rPr>
        <w:t xml:space="preserve">An exploratory practice report based on twenty years of observations on problem farms only</w:t>
      </w:r>
    </w:p>
    <w:p>
      <w:pPr>
        <w:spacing w:after="80"/>
        <w:jc w:val="center"/>
      </w:pPr>
      <w:r>
        <w:rPr>
          <w:b/>
          <w:bCs/>
          <w:sz w:val="24"/>
          <w:szCs w:val="24"/>
        </w:rPr>
        <w:t xml:space="preserve">H. Heida</w:t>
      </w:r>
    </w:p>
    <w:p>
      <w:pPr>
        <w:spacing w:after="80"/>
        <w:jc w:val="center"/>
      </w:pPr>
      <w:r>
        <w:rPr>
          <w:b w:val="false"/>
          <w:bCs w:val="false"/>
          <w:sz w:val="24"/>
          <w:szCs w:val="24"/>
        </w:rPr>
        <w:t xml:space="preserve">Koolstofkring BV</w:t>
      </w:r>
    </w:p>
    <w:p>
      <w:pPr>
        <w:spacing w:after="80"/>
        <w:jc w:val="center"/>
      </w:pPr>
      <w:r>
        <w:rPr>
          <w:b w:val="false"/>
          <w:bCs w:val="false"/>
          <w:sz w:val="24"/>
          <w:szCs w:val="24"/>
        </w:rPr>
        <w:t xml:space="preserve">16 September 2026</w:t>
      </w:r>
    </w:p>
    <w:p>
      <w:r>
        <w:br w:type="page"/>
      </w:r>
    </w:p>
    <w:p>
      <w:pPr>
        <w:pStyle w:val="Heading1"/>
      </w:pPr>
      <w:r>
        <w:t xml:space="preserve">Summary</w:t>
      </w:r>
    </w:p>
    <w:p>
      <w:pPr>
        <w:spacing w:after="140" w:line="276"/>
        <w:jc w:val="both"/>
      </w:pPr>
      <w:r>
        <w:t xml:space="preserve">This report brings together twenty years of field observations and client reports on the use of Immutines™, a seawater concentrate from Koolstofkring BV, in dairy cattle. The central working hypothesis is that the trace elements it contains promote the uptake of macro-elements — in particular magnesium (Mg), potassium (K), calcium (Ca) and phosphorus (P). Repeatedly reported effects concern fertility (heat expression), faster and more complete uterine recovery after calving (fewer curettages by the veterinarian), improved coat quality (shine, sharper colour contrasts), harder hooves, and increased intake of maize silage after it has been sprayed with the product. In addition, a specific dosing protocol is described (15 ml Immutines™ plus 200 grams of Impactpoeder) that shows improvement in butyric acid problems (Clostridium butyricum) within approximately one week. Improvement is also often achieved with Clostridium botulinum and Clostridium perfringens, albeit with variable success, and in combination with lactic acid bacteria Salmonella problems also appear to decrease.</w:t>
      </w:r>
    </w:p>
    <w:p>
      <w:pPr>
        <w:spacing w:after="140" w:line="276"/>
        <w:jc w:val="both"/>
      </w:pPr>
      <w:r>
        <w:t xml:space="preserve">In addition, this report describes that Koolstofkring BV addresses identified mineral problems not only with Immutines™ but also with carbon (clay minerals), and places the practical experience in the broader context of mineral supply in the Netherlands. Despite a low Immutines™ dose (13 ml) as a feed additive, GD (Royal GD, the Dutch animal health service) mineral testing at Koolstofkring BV clients rarely reveals deficiencies, while the farms' own forage analyses increasingly show shortages of selenium, copper, cobalt and calcium. This is a nationally recognised problem linked to one-sided fertilisation, mineral removal via manure export, and a lack of knowledge about the availability of different mineral forms (for example magnesium oxide versus magnesium chloride or citrate).</w:t>
      </w:r>
    </w:p>
    <w:p>
      <w:pPr>
        <w:spacing w:after="140" w:line="276"/>
        <w:jc w:val="both"/>
      </w:pPr>
      <w:r>
        <w:rPr>
          <w:i/>
          <w:iCs/>
        </w:rPr>
        <w:t xml:space="preserve">This report is explicitly not empirical evidence in the scientific sense of the word. The underlying data were not collected with a control group, randomisation or blinding, and come exclusively from farms that came forward with a problem — a fundamental selection bias that is explained further in the Discussion. The report serves as a structured account of practical knowledge and as a basis for formulating testable hypotheses for future controlled research.</w:t>
      </w:r>
    </w:p>
    <w:p>
      <w:pPr>
        <w:pStyle w:val="Heading1"/>
      </w:pPr>
      <w:r>
        <w:t xml:space="preserve">Contents</w:t>
      </w:r>
    </w:p>
    <w:p>
      <w:pPr>
        <w:spacing w:after="60"/>
      </w:pPr>
      <w:r>
        <w:t xml:space="preserve">1. Introduction and background</w:t>
      </w:r>
    </w:p>
    <w:p>
      <w:pPr>
        <w:spacing w:after="60"/>
      </w:pPr>
      <w:r>
        <w:t xml:space="preserve">2. Method and data basis — 20 years, problem farms only</w:t>
      </w:r>
    </w:p>
    <w:p>
      <w:pPr>
        <w:spacing w:after="60"/>
      </w:pPr>
      <w:r>
        <w:t xml:space="preserve">3. Findings by theme (incl. 3.8 carbon/clay minerals and the broader mineral problem)</w:t>
      </w:r>
    </w:p>
    <w:p>
      <w:pPr>
        <w:spacing w:after="60"/>
      </w:pPr>
      <w:r>
        <w:t xml:space="preserve">4. The contact with Dr. Ir. Jan Dijkstra (Wageningen University &amp; Research)</w:t>
      </w:r>
    </w:p>
    <w:p>
      <w:pPr>
        <w:spacing w:after="60"/>
      </w:pPr>
      <w:r>
        <w:t xml:space="preserve">5. Discussion: plausibility, limitations and selection bias</w:t>
      </w:r>
    </w:p>
    <w:p>
      <w:pPr>
        <w:spacing w:after="60"/>
      </w:pPr>
      <w:r>
        <w:t xml:space="preserve">6. Disclaimer and responsible use</w:t>
      </w:r>
    </w:p>
    <w:p>
      <w:pPr>
        <w:spacing w:after="60"/>
      </w:pPr>
      <w:r>
        <w:t xml:space="preserve">7. Recommendations for further research</w:t>
      </w:r>
    </w:p>
    <w:p>
      <w:pPr>
        <w:spacing w:after="60"/>
      </w:pPr>
      <w:r>
        <w:t xml:space="preserve">8. References</w:t>
      </w:r>
    </w:p>
    <w:p>
      <w:r>
        <w:br w:type="page"/>
      </w:r>
    </w:p>
    <w:p>
      <w:pPr>
        <w:pStyle w:val="Heading1"/>
      </w:pPr>
      <w:r>
        <w:t xml:space="preserve">1. Introduction and background</w:t>
      </w:r>
    </w:p>
    <w:p>
      <w:pPr>
        <w:spacing w:after="140" w:line="276"/>
        <w:jc w:val="both"/>
      </w:pPr>
      <w:r>
        <w:t xml:space="preserve">Koolstofkring BV markets Immutines™, a seawater-based concentrate containing a broad spectrum of minerals — according to internal analysis approximately 89 elements, including a range of micro-elements (trace elements) alongside the familiar macro-elements. The working hypothesis that has emerged within the company and from client feedback is that the trace elements present act as co-factors or transport promoters for the uptake of macro-elements, in particular magnesium, potassium, calcium and phosphorus.</w:t>
      </w:r>
    </w:p>
    <w:p>
      <w:pPr>
        <w:spacing w:after="140" w:line="276"/>
        <w:jc w:val="both"/>
      </w:pPr>
      <w:r>
        <w:t xml:space="preserve">This hypothesis is consistent with a more widely recognised principle in cattle nutrition: macro- and micro-elements do not act in isolation, but influence each other's availability and uptake through antagonism and synergy in the gastrointestinal tract. It has been documented, for example, that an excess of potassium inhibits magnesium uptake, and that the form in which trace elements are supplied (inorganic versus organic/hydroxy-bound) strongly determines the ultimate bioavailability of those same trace elements in the small intestine. The improved uptake of macro-elements by Immutines™ described below was tested internally using rectal measurements (faecal/rectal mineral determination); this is a practice-oriented measurement method, not a published, peer-reviewed uptake study, and the results should therefore be read as indicative.</w:t>
      </w:r>
    </w:p>
    <w:p>
      <w:pPr>
        <w:spacing w:after="140" w:line="276"/>
        <w:jc w:val="both"/>
      </w:pPr>
      <w:r>
        <w:t xml:space="preserve">Besides the mineral uptake hypothesis, two additional lines of application have emerged over the years from client experience: (a) improved intake of forage (specifically maize) after spraying with Immutines™, and (b) a dosing protocol against butyric acid bacteria (Clostridium species) and Salmonella in combination with Impactpoeder and lactic acid bacteria. Both are described in chapter 3.</w:t>
      </w:r>
    </w:p>
    <w:p>
      <w:pPr>
        <w:pStyle w:val="Heading1"/>
      </w:pPr>
      <w:r>
        <w:t xml:space="preserve">2. Method and data basis — 20 years, problem farms only</w:t>
      </w:r>
    </w:p>
    <w:p>
      <w:pPr>
        <w:spacing w:after="140" w:line="276"/>
        <w:jc w:val="both"/>
      </w:pPr>
      <w:r>
        <w:t xml:space="preserve">This report is based on unstructured and semi-structured feedback from Koolstofkring BV clients, collected over a period of approximately twenty years. This feedback came through direct client contacts, telephone and verbal reports, and observations by third parties visiting the farms (veterinarians, hoof trimmers).</w:t>
      </w:r>
    </w:p>
    <w:p>
      <w:pPr>
        <w:pStyle w:val="Heading2"/>
      </w:pPr>
      <w:r>
        <w:t xml:space="preserve">2.1 Crucial methodological limitation: selection of problem farms only</w:t>
      </w:r>
    </w:p>
    <w:p>
      <w:pPr>
        <w:spacing w:after="140" w:line="276"/>
        <w:jc w:val="both"/>
      </w:pPr>
      <w:r>
        <w:t xml:space="preserve">The farms from which the observations in this report originate are, almost without exception, farms that came forward because they were experiencing a problem — fertility problems, butyric acid in the ration, hoof problems, disappointing feed intake. There is no comparison whatsoever with farms without problems or with a random sample of 'average' farms. Incidentally, the number of farms treated with the Koolstofkring approach over the years runs into the hundreds.</w:t>
      </w:r>
    </w:p>
    <w:p>
      <w:pPr>
        <w:spacing w:after="140" w:line="276"/>
        <w:jc w:val="both"/>
      </w:pPr>
      <w:r>
        <w:t xml:space="preserve">This scale is not without significance: a large, repeated number of independent reports increases the likelihood that an observed pattern reflects a real signal rather than chance, and gives the individual farmer a practical, relevant decision criterion — the cost-benefit ratio on his own farm. However, it does not compensate for the absence of randomisation, blinding and a control group, which are explained below: a large number of uncontrolled observations is methodologically something different from a small number of controlled, blinded observations, and the two cannot simply be weighed against each other as 'more' or 'less' evidence. Each has its own value and its own blind spot.</w:t>
      </w:r>
    </w:p>
    <w:p>
      <w:pPr>
        <w:spacing w:after="140" w:line="276"/>
        <w:jc w:val="both"/>
      </w:pPr>
      <w:r>
        <w:t xml:space="preserve">This is a fundamental and not-to-be-underestimated source of distortion (selection bias). Farms with a problem by definition have more room for improvement (regression to the mean): an improvement after an intervention on a problem farm may partly or wholly reflect the natural course of the problem, independent of the substance administered. Without a comparable, untreated control group of equally severe problem farms, no causal relationship can be established between administration of Immutines™ and the observed improvements.</w:t>
      </w:r>
    </w:p>
    <w:p>
      <w:pPr>
        <w:spacing w:after="140" w:line="276"/>
        <w:jc w:val="both"/>
      </w:pPr>
      <w:r>
        <w:t xml:space="preserve">Other methodological characteristics relevant to the interpretation of this report:</w:t>
      </w:r>
    </w:p>
    <w:p>
      <w:pPr>
        <w:pStyle w:val="ListParagraph"/>
        <w:numPr>
          <w:ilvl w:val="0"/>
          <w:numId w:val="2"/>
        </w:numPr>
        <w:spacing w:after="80" w:line="276"/>
        <w:jc w:val="both"/>
      </w:pPr>
      <w:r>
        <w:rPr>
          <w:b/>
          <w:bCs/>
        </w:rPr>
        <w:t xml:space="preserve">No randomisation: </w:t>
      </w:r>
      <w:r>
        <w:t xml:space="preserve">farms chose to use the product themselves, often on the advice of Koolstofkring BV or their feed supplier.</w:t>
      </w:r>
    </w:p>
    <w:p>
      <w:pPr>
        <w:pStyle w:val="ListParagraph"/>
        <w:numPr>
          <w:ilvl w:val="0"/>
          <w:numId w:val="2"/>
        </w:numPr>
        <w:spacing w:after="80" w:line="276"/>
        <w:jc w:val="both"/>
      </w:pPr>
      <w:r>
        <w:rPr>
          <w:b/>
          <w:bCs/>
        </w:rPr>
        <w:t xml:space="preserve">No blinding: </w:t>
      </w:r>
      <w:r>
        <w:t xml:space="preserve">the farmer, hoof trimmer and veterinarian all knew the product was being administered, which does not rule out expectation effects (confirmation bias) in the observations.</w:t>
      </w:r>
    </w:p>
    <w:p>
      <w:pPr>
        <w:pStyle w:val="ListParagraph"/>
        <w:numPr>
          <w:ilvl w:val="0"/>
          <w:numId w:val="2"/>
        </w:numPr>
        <w:spacing w:after="80" w:line="276"/>
        <w:jc w:val="both"/>
      </w:pPr>
      <w:r>
        <w:rPr>
          <w:b/>
          <w:bCs/>
        </w:rPr>
        <w:t xml:space="preserve">No systematic, predefined outcome measures: </w:t>
      </w:r>
      <w:r>
        <w:t xml:space="preserve">reports are spontaneous and vary in form and detail from farm to farm.</w:t>
      </w:r>
    </w:p>
    <w:p>
      <w:pPr>
        <w:pStyle w:val="ListParagraph"/>
        <w:numPr>
          <w:ilvl w:val="0"/>
          <w:numId w:val="2"/>
        </w:numPr>
        <w:spacing w:after="80" w:line="276"/>
        <w:jc w:val="both"/>
      </w:pPr>
      <w:r>
        <w:rPr>
          <w:b/>
          <w:bCs/>
        </w:rPr>
        <w:t xml:space="preserve">Unknown exact number of farms and animals; </w:t>
      </w:r>
      <w:r>
        <w:t xml:space="preserve">the reports were collected cumulatively over two decades without a central database.</w:t>
      </w:r>
    </w:p>
    <w:p>
      <w:pPr>
        <w:pStyle w:val="ListParagraph"/>
        <w:numPr>
          <w:ilvl w:val="0"/>
          <w:numId w:val="2"/>
        </w:numPr>
        <w:spacing w:after="80" w:line="276"/>
        <w:jc w:val="both"/>
      </w:pPr>
      <w:r>
        <w:rPr>
          <w:b/>
          <w:bCs/>
        </w:rPr>
        <w:t xml:space="preserve">Concurrent management factors </w:t>
      </w:r>
      <w:r>
        <w:t xml:space="preserve">(ration changes, season, other interventions) have not been systematically ruled out.</w:t>
      </w:r>
    </w:p>
    <w:p>
      <w:pPr>
        <w:spacing w:after="140" w:before="120" w:line="276"/>
        <w:jc w:val="both"/>
      </w:pPr>
      <w:r>
        <w:t xml:space="preserve">These limitations do not mean that the observations are worthless — repeated, independent reports of similar effects by different farmers who are not in contact with one another over a long period do have signal value and are a legitimate basis for hypothesis generation. They are, however, not proof of efficacy and must not be presented as such.</w:t>
      </w:r>
    </w:p>
    <w:p>
      <w:pPr>
        <w:pStyle w:val="Heading2"/>
      </w:pPr>
      <w:r>
        <w:t xml:space="preserve">2.2 Evidence table — reading guide</w:t>
      </w:r>
    </w:p>
    <w:p>
      <w:pPr>
        <w:spacing w:after="140" w:line="276"/>
        <w:jc w:val="both"/>
      </w:pPr>
      <w:r>
        <w:t xml:space="preserve">Each finding in chapter 3 carries a tier designation indicating the level of supporting evidence: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0"/>
        <w:gridCol w:w="3600"/>
        <w:gridCol w:w="4526"/>
      </w:tblGrid>
      <w:tr>
        <w:trPr>
          <w:tblHeader/>
        </w:trPr>
        <w:tc>
          <w:tcPr>
            <w:tcW w:type="dxa" w:w="900"/>
            <w:tcBorders>
              <w:top w:val="single" w:color="999999" w:sz="4"/>
              <w:left w:val="single" w:color="999999" w:sz="4"/>
              <w:bottom w:val="single" w:color="999999" w:sz="4"/>
              <w:right w:val="single" w:color="999999" w:sz="4"/>
            </w:tcBorders>
            <w:shd w:fill="D9D9D9" w:color="auto" w:val="clear"/>
            <w:tcMar>
              <w:top w:type="dxa" w:w="80"/>
              <w:left w:type="dxa" w:w="120"/>
              <w:bottom w:type="dxa" w:w="80"/>
              <w:right w:type="dxa" w:w="120"/>
            </w:tcMar>
          </w:tcPr>
          <w:p>
            <w:r>
              <w:rPr>
                <w:b/>
                <w:bCs/>
                <w:sz w:val="20"/>
                <w:szCs w:val="20"/>
              </w:rPr>
              <w:t xml:space="preserve">Tier</w:t>
            </w:r>
          </w:p>
        </w:tc>
        <w:tc>
          <w:tcPr>
            <w:tcW w:type="dxa" w:w="3600"/>
            <w:tcBorders>
              <w:top w:val="single" w:color="999999" w:sz="4"/>
              <w:left w:val="single" w:color="999999" w:sz="4"/>
              <w:bottom w:val="single" w:color="999999" w:sz="4"/>
              <w:right w:val="single" w:color="999999" w:sz="4"/>
            </w:tcBorders>
            <w:shd w:fill="D9D9D9" w:color="auto" w:val="clear"/>
            <w:tcMar>
              <w:top w:type="dxa" w:w="80"/>
              <w:left w:type="dxa" w:w="120"/>
              <w:bottom w:type="dxa" w:w="80"/>
              <w:right w:type="dxa" w:w="120"/>
            </w:tcMar>
          </w:tcPr>
          <w:p>
            <w:r>
              <w:rPr>
                <w:b/>
                <w:bCs/>
                <w:sz w:val="20"/>
                <w:szCs w:val="20"/>
              </w:rPr>
              <w:t xml:space="preserve">Level of evidence</w:t>
            </w:r>
          </w:p>
        </w:tc>
        <w:tc>
          <w:tcPr>
            <w:tcW w:type="dxa" w:w="4526"/>
            <w:tcBorders>
              <w:top w:val="single" w:color="999999" w:sz="4"/>
              <w:left w:val="single" w:color="999999" w:sz="4"/>
              <w:bottom w:val="single" w:color="999999" w:sz="4"/>
              <w:right w:val="single" w:color="999999" w:sz="4"/>
            </w:tcBorders>
            <w:shd w:fill="D9D9D9" w:color="auto" w:val="clear"/>
            <w:tcMar>
              <w:top w:type="dxa" w:w="80"/>
              <w:left w:type="dxa" w:w="120"/>
              <w:bottom w:type="dxa" w:w="80"/>
              <w:right w:type="dxa" w:w="120"/>
            </w:tcMar>
          </w:tcPr>
          <w:p>
            <w:r>
              <w:rPr>
                <w:b/>
                <w:bCs/>
                <w:sz w:val="20"/>
                <w:szCs w:val="20"/>
              </w:rPr>
              <w:t xml:space="preserve">Application in this report</w:t>
            </w:r>
          </w:p>
        </w:tc>
      </w:tr>
      <w:tr>
        <w:tc>
          <w:tcPr>
            <w:tcW w:type="dxa" w:w="900"/>
            <w:tcBorders>
              <w:top w:val="single" w:color="999999" w:sz="4"/>
              <w:left w:val="single" w:color="999999" w:sz="4"/>
              <w:bottom w:val="single" w:color="999999" w:sz="4"/>
              <w:right w:val="single" w:color="999999" w:sz="4"/>
            </w:tcBorders>
            <w:shd w:fill="2E7D32" w:color="auto" w:val="clear"/>
            <w:tcMar>
              <w:top w:type="dxa" w:w="80"/>
              <w:left w:type="dxa" w:w="120"/>
              <w:bottom w:type="dxa" w:w="80"/>
              <w:right w:type="dxa" w:w="120"/>
            </w:tcMar>
          </w:tcPr>
          <w:p>
            <w:pPr>
              <w:jc w:val="center"/>
            </w:pPr>
            <w:r>
              <w:rPr>
                <w:b/>
                <w:bCs/>
                <w:color w:val="FFFFFF"/>
                <w:sz w:val="22"/>
                <w:szCs w:val="22"/>
              </w:rPr>
              <w:t xml:space="preserve">A</w:t>
            </w:r>
          </w:p>
        </w:tc>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sz w:val="20"/>
                <w:szCs w:val="20"/>
              </w:rPr>
              <w:t xml:space="preserve">Published, controlled research (external, peer-reviewed)</w:t>
            </w:r>
          </w:p>
        </w:tc>
        <w:tc>
          <w:tcPr>
            <w:tcW w:type="dxa" w:w="4526"/>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sz w:val="20"/>
                <w:szCs w:val="20"/>
              </w:rPr>
              <w:t xml:space="preserve">Not applicable to Immutines™-specific claims in this report.</w:t>
            </w:r>
          </w:p>
        </w:tc>
      </w:tr>
      <w:tr>
        <w:tc>
          <w:tcPr>
            <w:tcW w:type="dxa" w:w="900"/>
            <w:tcBorders>
              <w:top w:val="single" w:color="999999" w:sz="4"/>
              <w:left w:val="single" w:color="999999" w:sz="4"/>
              <w:bottom w:val="single" w:color="999999" w:sz="4"/>
              <w:right w:val="single" w:color="999999" w:sz="4"/>
            </w:tcBorders>
            <w:shd w:fill="1565C0" w:color="auto" w:val="clear"/>
            <w:tcMar>
              <w:top w:type="dxa" w:w="80"/>
              <w:left w:type="dxa" w:w="120"/>
              <w:bottom w:type="dxa" w:w="80"/>
              <w:right w:type="dxa" w:w="120"/>
            </w:tcMar>
          </w:tcPr>
          <w:p>
            <w:pPr>
              <w:jc w:val="center"/>
            </w:pPr>
            <w:r>
              <w:rPr>
                <w:b/>
                <w:bCs/>
                <w:color w:val="FFFFFF"/>
                <w:sz w:val="22"/>
                <w:szCs w:val="22"/>
              </w:rPr>
              <w:t xml:space="preserve">B</w:t>
            </w:r>
          </w:p>
        </w:tc>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sz w:val="20"/>
                <w:szCs w:val="20"/>
              </w:rPr>
              <w:t xml:space="preserve">Mechanistic plausibility based on published background literature</w:t>
            </w:r>
          </w:p>
        </w:tc>
        <w:tc>
          <w:tcPr>
            <w:tcW w:type="dxa" w:w="4526"/>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sz w:val="20"/>
                <w:szCs w:val="20"/>
              </w:rPr>
              <w:t xml:space="preserve">The underlying mechanism (mineral interaction) has been described elsewhere; its application to Immutines™ itself has not.</w:t>
            </w:r>
          </w:p>
        </w:tc>
      </w:tr>
      <w:tr>
        <w:tc>
          <w:tcPr>
            <w:tcW w:type="dxa" w:w="900"/>
            <w:tcBorders>
              <w:top w:val="single" w:color="999999" w:sz="4"/>
              <w:left w:val="single" w:color="999999" w:sz="4"/>
              <w:bottom w:val="single" w:color="999999" w:sz="4"/>
              <w:right w:val="single" w:color="999999" w:sz="4"/>
            </w:tcBorders>
            <w:shd w:fill="EF8F00" w:color="auto" w:val="clear"/>
            <w:tcMar>
              <w:top w:type="dxa" w:w="80"/>
              <w:left w:type="dxa" w:w="120"/>
              <w:bottom w:type="dxa" w:w="80"/>
              <w:right w:type="dxa" w:w="120"/>
            </w:tcMar>
          </w:tcPr>
          <w:p>
            <w:pPr>
              <w:jc w:val="center"/>
            </w:pPr>
            <w:r>
              <w:rPr>
                <w:b/>
                <w:bCs/>
                <w:color w:val="FFFFFF"/>
                <w:sz w:val="22"/>
                <w:szCs w:val="22"/>
              </w:rPr>
              <w:t xml:space="preserve">C</w:t>
            </w:r>
          </w:p>
        </w:tc>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sz w:val="20"/>
                <w:szCs w:val="20"/>
              </w:rPr>
              <w:t xml:space="preserve">Repeated, independent field observation (multiple farms, long period)</w:t>
            </w:r>
          </w:p>
        </w:tc>
        <w:tc>
          <w:tcPr>
            <w:tcW w:type="dxa" w:w="4526"/>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sz w:val="20"/>
                <w:szCs w:val="20"/>
              </w:rPr>
              <w:t xml:space="preserve">Consistent reports from multiple clients over years; no control group.</w:t>
            </w:r>
          </w:p>
        </w:tc>
      </w:tr>
      <w:tr>
        <w:tc>
          <w:tcPr>
            <w:tcW w:type="dxa" w:w="900"/>
            <w:tcBorders>
              <w:top w:val="single" w:color="999999" w:sz="4"/>
              <w:left w:val="single" w:color="999999" w:sz="4"/>
              <w:bottom w:val="single" w:color="999999" w:sz="4"/>
              <w:right w:val="single" w:color="999999" w:sz="4"/>
            </w:tcBorders>
            <w:shd w:fill="C62828" w:color="auto" w:val="clear"/>
            <w:tcMar>
              <w:top w:type="dxa" w:w="80"/>
              <w:left w:type="dxa" w:w="120"/>
              <w:bottom w:type="dxa" w:w="80"/>
              <w:right w:type="dxa" w:w="120"/>
            </w:tcMar>
          </w:tcPr>
          <w:p>
            <w:pPr>
              <w:jc w:val="center"/>
            </w:pPr>
            <w:r>
              <w:rPr>
                <w:b/>
                <w:bCs/>
                <w:color w:val="FFFFFF"/>
                <w:sz w:val="22"/>
                <w:szCs w:val="22"/>
              </w:rPr>
              <w:t xml:space="preserve">D</w:t>
            </w:r>
          </w:p>
        </w:tc>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sz w:val="20"/>
                <w:szCs w:val="20"/>
              </w:rPr>
              <w:t xml:space="preserve">Incidental / anecdotal report (one or a few farms)</w:t>
            </w:r>
          </w:p>
        </w:tc>
        <w:tc>
          <w:tcPr>
            <w:tcW w:type="dxa" w:w="4526"/>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b w:val="false"/>
                <w:bCs w:val="false"/>
                <w:sz w:val="20"/>
                <w:szCs w:val="20"/>
              </w:rPr>
              <w:t xml:space="preserve">Isolated, recent or one-off observation, not yet confirmed by repetition.</w:t>
            </w:r>
          </w:p>
        </w:tc>
      </w:tr>
    </w:tbl>
    <w:p>
      <w:pPr>
        <w:pStyle w:val="Heading1"/>
      </w:pPr>
      <w:r>
        <w:t xml:space="preserve">3. Findings by theme</w:t>
      </w:r>
    </w:p>
    <w:p>
      <w:pPr>
        <w:pStyle w:val="Heading2"/>
      </w:pPr>
      <w:r>
        <w:t xml:space="preserve">3.1 Fertility and heat expression — </w:t>
      </w:r>
      <w:r>
        <w:rPr>
          <w:color w:val="EF8F00"/>
        </w:rPr>
        <w:t xml:space="preserve">Tier C</w:t>
      </w:r>
    </w:p>
    <w:p>
      <w:pPr>
        <w:spacing w:after="140" w:line="276"/>
        <w:jc w:val="both"/>
      </w:pPr>
      <w:r>
        <w:t xml:space="preserve">Several clients report, independently of one another and repeatedly over the period studied, that cows show heat better and more clearly after using Immutines™. This is consistent with the role of calcium, magnesium and phosphorus in reproductive physiology (including the hormonal cycle and energy balance around oestrus), and with the fact that mineral deficiencies are a recognised cause of reduced or silent heats in dairy cattle. A direct, measured relationship between Immutines™ use and heat detection has not been recorded; the reports are qualitative in nature.</w:t>
      </w:r>
    </w:p>
    <w:p>
      <w:pPr>
        <w:pStyle w:val="Heading2"/>
      </w:pPr>
      <w:r>
        <w:t xml:space="preserve">3.2 Uterine recovery after calving (cleaning) — </w:t>
      </w:r>
      <w:r>
        <w:rPr>
          <w:color w:val="EF8F00"/>
        </w:rPr>
        <w:t xml:space="preserve">Tier C</w:t>
      </w:r>
    </w:p>
    <w:p>
      <w:pPr>
        <w:spacing w:after="140" w:line="276"/>
        <w:jc w:val="both"/>
      </w:pPr>
      <w:r>
        <w:t xml:space="preserve">A recurring report is that cows 'clean' better and more completely after calving (uterine involution and expulsion of the placenta), resulting in fewer cases in which the veterinarian has to intervene with curettage. In the veterinary literature, retained placenta and delayed uterine involution are associated with energy and mineral status around calving, which makes the reported observation mechanistically plausible. No recorded number of curettages before versus after is available; the comparison rests on the subjective impression of farmer and veterinarian.</w:t>
      </w:r>
    </w:p>
    <w:p>
      <w:pPr>
        <w:pStyle w:val="Heading2"/>
      </w:pPr>
      <w:r>
        <w:t xml:space="preserve">3.3 Coat: shine and colour sharpness — </w:t>
      </w:r>
      <w:r>
        <w:rPr>
          <w:color w:val="EF8F00"/>
        </w:rPr>
        <w:t xml:space="preserve">Tier C</w:t>
      </w:r>
    </w:p>
    <w:p>
      <w:pPr>
        <w:spacing w:after="140" w:line="276"/>
        <w:jc w:val="both"/>
      </w:pPr>
      <w:r>
        <w:t xml:space="preserve">Clients consistently report improved coat shine and a sharper, 'cleaner' colour rendering of the coat (white is visibly whiter, black visibly blacker). Coat quality is a classic, widely recognised visual indicator of general mineral and nutritional status in ruminants and is often used in practice as a simple, non-invasive gauge. The observation is therefore mechanistically plausible as a general effect of improved mineral supply, but cannot be attributed specifically to Immutines™ as opposed to other mineral supplements.</w:t>
      </w:r>
    </w:p>
    <w:p>
      <w:pPr>
        <w:pStyle w:val="Heading2"/>
      </w:pPr>
      <w:r>
        <w:t xml:space="preserve">3.4 Hoof quality — </w:t>
      </w:r>
      <w:r>
        <w:rPr>
          <w:color w:val="EF8F00"/>
        </w:rPr>
        <w:t xml:space="preserve">Tier C</w:t>
      </w:r>
    </w:p>
    <w:p>
      <w:pPr>
        <w:spacing w:after="140" w:line="276"/>
        <w:jc w:val="both"/>
      </w:pPr>
      <w:r>
        <w:t xml:space="preserve">Hoof trimmers report to several clients that hooves feel harder and are easier to work after using Immutines™. Horn quality depends heavily on zinc, biotin, calcium and phosphorus, among others; improved macro-element uptake could plausibly contribute to this. The observations come from third parties (hoof trimmers) who did not score in a standardised way (for example with a horn hardness meter); they are a qualitative impression.</w:t>
      </w:r>
    </w:p>
    <w:p>
      <w:pPr>
        <w:pStyle w:val="Heading2"/>
      </w:pPr>
      <w:r>
        <w:t xml:space="preserve">3.5 Maize intake after spraying — </w:t>
      </w:r>
      <w:r>
        <w:rPr>
          <w:color w:val="C62828"/>
        </w:rPr>
        <w:t xml:space="preserve">Tier D</w:t>
      </w:r>
    </w:p>
    <w:p>
      <w:pPr>
        <w:spacing w:after="140" w:line="276"/>
        <w:jc w:val="both"/>
      </w:pPr>
      <w:r>
        <w:t xml:space="preserve">Recently a client reported that cows ate the maize noticeably better when it had been doused with Immutines™. This is so far a single, recent observation and should be regarded as hypothesis-generating, not as a confirmed effect. Conceivable, as yet uninvestigated explanations are a taste or odour effect of the mineral composition, or an indirect effect via improved general condition of the animals.</w:t>
      </w:r>
    </w:p>
    <w:p>
      <w:pPr>
        <w:pStyle w:val="Heading2"/>
      </w:pPr>
      <w:r>
        <w:t xml:space="preserve">3.6 Butyric acid protocol: Clostridium butyricum, botulinum and perfringens — </w:t>
      </w:r>
      <w:r>
        <w:rPr>
          <w:color w:val="C62828"/>
        </w:rPr>
        <w:t xml:space="preserve">Tier C/D</w:t>
      </w:r>
    </w:p>
    <w:p>
      <w:pPr>
        <w:spacing w:after="140" w:line="276"/>
        <w:jc w:val="both"/>
      </w:pPr>
      <w:r>
        <w:t xml:space="preserve">When butyric acid problems in the ration are established, the dose is increased to 15 ml Immutines™ plus 200 grams of Impactpoeder. Clients report that Clostridium butyricum problems generally disappear within about a week with this protocol (Tier C: repeatedly reported). With Clostridium botulinum and Clostridium perfringens the effect is variable ('usually works'), indicating a less consistent and less readily explained effect (Tier D).</w:t>
      </w:r>
    </w:p>
    <w:p>
      <w:pPr>
        <w:spacing w:after="140" w:line="276"/>
        <w:jc w:val="both"/>
      </w:pPr>
      <w:r>
        <w:t xml:space="preserve">Butyric acid (Clostridium fermentation) in forage, particularly with overly wet ensiling (&lt;30% dry matter) or insufficient compaction, is a well-documented problem in cattle farming [7,8]. Botulism caused by Clostridium botulinum usually arises when protein-rich material (for example a carcass ensiled along with the crop) rots within the silage, and can lead to severe, potentially fatal muscle paralysis in ruminants [9]. A butyric acid content above approximately 0.5% of dry matter is regarded in the literature as a risk level for reduced feed intake and metabolic problems (including ketosis) [10].</w:t>
      </w:r>
    </w:p>
    <w:p>
      <w:pPr>
        <w:pBdr>
          <w:left w:val="single" w:color="C62828" w:sz="18" w:space="8"/>
        </w:pBdr>
        <w:shd w:fill="FDECEA" w:color="auto" w:val="clear"/>
        <w:spacing w:after="160" w:before="120"/>
        <w:jc w:val="both"/>
      </w:pPr>
      <w:r>
        <w:rPr>
          <w:b/>
          <w:bCs/>
        </w:rPr>
        <w:t xml:space="preserve">Botulism and clostridial infections (particularly C. botulinum and C. perfringens type C/D) are potentially life-threatening and can develop very rapidly. A variable and not fully reliable effect ('usually works') is an insufficient basis for delaying veterinary involvement in these conditions. See chapter 6.</w:t>
      </w:r>
    </w:p>
    <w:p>
      <w:pPr>
        <w:pStyle w:val="Heading2"/>
      </w:pPr>
      <w:r>
        <w:t xml:space="preserve">3.7 Combination with lactic acid bacteria: Salmonella — </w:t>
      </w:r>
      <w:r>
        <w:rPr>
          <w:color w:val="C62828"/>
        </w:rPr>
        <w:t xml:space="preserve">Tier C/D</w:t>
      </w:r>
    </w:p>
    <w:p>
      <w:pPr>
        <w:spacing w:after="140" w:line="276"/>
        <w:jc w:val="both"/>
      </w:pPr>
      <w:r>
        <w:t xml:space="preserve">A combination of Immutines™/Impactpoeder with lactic acid bacteria is reported by clients as effective in rapidly resolving Salmonella problems in the herd. The underlying plausible mechanism is competitive exclusion: lactic acid bacteria lower the local pH and compete for nutrients and attachment sites in the gastrointestinal tract, which can inhibit the multiplication of pathogenic Salmonella strains. This is a widely studied principle in the probiotics literature in general; specific research into this combination with Immutines™ is lacking. Depending on the serotype and the age/status of the animal, salmonellosis in dairy cattle can take a severe course (sepsis, death, zoonotic risk to people on the farm); field observations of 'rapid resolution' do not replace veterinary diagnosis and treatment, certainly not in acute or severe outbreaks.</w:t>
      </w:r>
    </w:p>
    <w:p>
      <w:pPr>
        <w:pStyle w:val="Heading2"/>
      </w:pPr>
      <w:r>
        <w:t xml:space="preserve">3.8 Additional information: carbon (clay minerals) as a second pillar, and the broader Dutch mineral supply problem — </w:t>
      </w:r>
      <w:r>
        <w:rPr>
          <w:color w:val="1565C0"/>
        </w:rPr>
        <w:t xml:space="preserve">Tier B/C</w:t>
      </w:r>
    </w:p>
    <w:p>
      <w:pPr>
        <w:spacing w:after="140" w:line="276"/>
        <w:jc w:val="both"/>
      </w:pPr>
      <w:r>
        <w:t xml:space="preserve">This section broadens the picture of chapter 3: Koolstofkring BV resolves mineral problems identified at clients not only with Immutines™ but also with carbon (clay minerals). Clay minerals naturally have a high cation exchange capacity (CEC) and are already used elsewhere in animal nutrition as carriers and buffers for minerals and as binders for undesirable substances; this makes a role as mineral carrier mechanistically plausible. As with Immutines™ itself (see the caveat in chapter 1), the specific effect of the clay minerals as applied by Koolstofkring BV has not been independently investigated, and the same limitations as described in chapter 2 apply.</w:t>
      </w:r>
    </w:p>
    <w:p>
      <w:pPr>
        <w:spacing w:after="140" w:line="276"/>
        <w:jc w:val="both"/>
      </w:pPr>
      <w:r>
        <w:t xml:space="preserve">Many Koolstofkring BV clients take part in the mineral testing programme of Royal GD (Gezondheidsdienst voor Dieren). This measures selenium, iodine, copper and zinc, among others, through blood or bulk tank milk testing [11]. Notably, these farms almost never show deficiencies in the minerals measured. This is despite a relatively low dose of 13 ml Immutines™ per animal as a feed additive. This observation too must be read with the same caveats as the rest of this report: there is no comparison with a control group not using Immutines™.</w:t>
      </w:r>
    </w:p>
    <w:p>
      <w:pPr>
        <w:spacing w:after="140" w:line="276"/>
        <w:jc w:val="both"/>
      </w:pPr>
      <w:r>
        <w:t xml:space="preserve">Nevertheless, there is cause for concern. Many farmers find that mineral supply from their own forage is coming under pressure, particularly for selenium. Forage analyses also increasingly show that the macro-element calcium and a number of trace elements, notably copper and cobalt, are present below the norm. Unfortunately, this also applies to farms that are clients of Koolstofkring BV.</w:t>
      </w:r>
    </w:p>
    <w:p>
      <w:pPr>
        <w:spacing w:after="140" w:line="276"/>
        <w:jc w:val="both"/>
      </w:pPr>
      <w:r>
        <w:t xml:space="preserve">The two findings do not contradict each other. GD testing measures the animal's mineral status, including what is supplemented. Forage analysis measures what the farm's own land supplies. A good GD result combined with deficient forage therefore means that the farm is structurally dependent on supplementation for its mineral supply.</w:t>
      </w:r>
    </w:p>
    <w:p>
      <w:pPr>
        <w:spacing w:after="140" w:line="276"/>
        <w:jc w:val="both"/>
      </w:pPr>
      <w:r>
        <w:t xml:space="preserve">This picture is consistent with findings of GD itself. On more than 25 percent of Dutch dairy farms, bulk tank milk testing shows a reduced supply of one or more trace elements [12]. Dutch grassland, particularly on sandy soils, is naturally low in selenium and copper [13]. When cattle go out to pasture in spring and receive less concentrate, selenium status drops further. In recent years approximately 15 percent of animals had a selenium deficiency in May [13].</w:t>
      </w:r>
    </w:p>
    <w:p>
      <w:pPr>
        <w:pStyle w:val="Heading3"/>
      </w:pPr>
      <w:r>
        <w:t xml:space="preserve">3.8.1 Cause: one-sided fertilisation and mineral removal via milk, meat and manure</w:t>
      </w:r>
    </w:p>
    <w:p>
      <w:pPr>
        <w:spacing w:after="140" w:line="276"/>
        <w:jc w:val="both"/>
      </w:pPr>
      <w:r>
        <w:t xml:space="preserve">The cause of these deficiencies lies primarily in one-sided fertilisation. On a dairy farm, minerals are always removed via milk and meat. This effect is considerably amplified by the need to export manure. Besides nitrogen and phosphate, large quantities of trace elements also leave the farm in this way, without being replenished through fertilisation.</w:t>
      </w:r>
    </w:p>
    <w:p>
      <w:pPr>
        <w:spacing w:after="140" w:line="276"/>
        <w:jc w:val="both"/>
      </w:pPr>
      <w:r>
        <w:t xml:space="preserve">This mechanism is also documented externally. Since the introduction of stricter manure legislation (the Minas mineral accounting system, from 1996), considerably less animal manure has been applied to grassland and arable land. As a result, the trace elements zinc, iron and copper in particular are declining in the soil [14]. For many farms, supplementary fertilisation or feeding of trace elements has therefore become necessary to prevent production and health problems. Mineral contents in grass silage have declined structurally since the introduction of this legislation [14].</w:t>
      </w:r>
    </w:p>
    <w:p>
      <w:pPr>
        <w:pStyle w:val="Heading3"/>
      </w:pPr>
      <w:r>
        <w:t xml:space="preserve">3.8.2 Knowledge gap: interaction and efficacy of mineral forms</w:t>
      </w:r>
    </w:p>
    <w:p>
      <w:pPr>
        <w:spacing w:after="140" w:line="276"/>
        <w:jc w:val="both"/>
      </w:pPr>
      <w:r>
        <w:t xml:space="preserve">A second, underexposed problem is that in practice there is very little knowledge about the interaction between the different minerals. The same applies to the efficacy of the form in which a mineral is supplied.</w:t>
      </w:r>
    </w:p>
    <w:p>
      <w:pPr>
        <w:spacing w:after="140" w:line="276"/>
        <w:jc w:val="both"/>
      </w:pPr>
      <w:r>
        <w:t xml:space="preserve">Magnesium oxide (MgO) is an inexpensive magnesium source, but especially with a high potassium content in the ration its availability is limited. In the practical experience of Koolstofkring BV, magnesium oxide is then at most around 10 percent effective. That is very low compared with magnesium chloride or magnesium citrate.</w:t>
      </w:r>
    </w:p>
    <w:p>
      <w:pPr>
        <w:spacing w:after="140" w:line="276"/>
        <w:jc w:val="both"/>
      </w:pPr>
      <w:r>
        <w:t xml:space="preserve">This is consistent with the broader literature. The average absorption coefficient of magnesium in dairy cattle is estimated at around 16 to 17 percent. Potassium inhibits magnesium uptake already at potassium levels of 1 to 3 percent of dry matter, a level regularly exceeded in standard rations and grazing situations [15,16]. A value of around 10 percent at high potassium levels is therefore in line with expectations. In addition, the quality of commercially available magnesium oxide varies, which further affects actual availability [15].</w:t>
      </w:r>
    </w:p>
    <w:p>
      <w:pPr>
        <w:spacing w:after="140" w:line="276"/>
        <w:jc w:val="both"/>
      </w:pPr>
      <w:r>
        <w:t xml:space="preserve">A further problem is that more readily absorbable, organically bound minerals (chelates, hydroxy compounds) are often considerably more expensive than the classic inorganic, chemical compounds such as sulphates and oxides. This creates a tension between cost price and actual effectiveness. A cheap mix can fully meet requirements on paper, while actual uptake falls far short due to unfavourable interactions and a low-grade mineral form.</w:t>
      </w:r>
    </w:p>
    <w:p>
      <w:pPr>
        <w:spacing w:after="140" w:line="276"/>
        <w:jc w:val="both"/>
      </w:pPr>
      <w:r>
        <w:t xml:space="preserve">This section substantiates, with external sources, why the working hypothesis put forward by Koolstofkring BV — that the form and combination of minerals strongly determine uptake (see section 5.1) — touches on a real and widely recognised agricultural problem. However, this does not confirm that Immutines™ or Koolstofkring BV's carbon/clay minerals actually solve this problem; it only confirms that the problem they claim to solve genuinely exists and is relevant to Dutch dairy farming.</w:t>
      </w:r>
    </w:p>
    <w:p>
      <w:pPr>
        <w:pStyle w:val="Heading1"/>
      </w:pPr>
      <w:r>
        <w:t xml:space="preserve">4. The contact with Dr. Ir. Jan Dijkstra (Wageningen University &amp; Research)</w:t>
      </w:r>
    </w:p>
    <w:p>
      <w:pPr>
        <w:spacing w:after="140" w:line="276"/>
        <w:jc w:val="both"/>
      </w:pPr>
      <w:r>
        <w:t xml:space="preserve">Following the accumulation of field reports, contact was made with Jan Dijkstra, professor/researcher in animal nutrition at Wageningen University &amp; Research, with the question of whether he could indicate which of the approximately 89 elements present in Immutines™ was most decisive for the observed effects. Dijkstra indicated that he could not answer this offhand, but showed genuine interest in having it investigated in a structured way. The costs of such a study as estimated by him (or his institute) amounted to approximately €250,000.</w:t>
      </w:r>
    </w:p>
    <w:p>
      <w:pPr>
        <w:spacing w:after="140" w:line="276"/>
        <w:jc w:val="both"/>
      </w:pPr>
      <w:r>
        <w:t xml:space="preserve">Despite being financially sound, Koolstofkring BV decided not to commission this study. The main consideration was that an investment of this size could not be recouped within a reasonable period through sales of Immutines™, given the current size of that product line. Dijkstra was thanked for his efforts and the matter was not pursued further.</w:t>
      </w:r>
    </w:p>
    <w:p>
      <w:pPr>
        <w:spacing w:after="140" w:line="276"/>
        <w:jc w:val="both"/>
      </w:pPr>
      <w:r>
        <w:t xml:space="preserve">This episode is relevant to the reader of this report for two reasons: (1) it confirms that an independent expert considered the question of which element (or combination) is responsible for the effects to be seriously and genuinely unanswered on the basis of current data — there is therefore no confirmed mechanism of action; and (2) it gives a realistic picture of the investment threshold that stands in the way of full scientific validation, and why this report is limited to an observational level.</w:t>
      </w:r>
    </w:p>
    <w:p>
      <w:pPr>
        <w:pStyle w:val="Heading1"/>
      </w:pPr>
      <w:r>
        <w:t xml:space="preserve">5. Discussion: plausibility, limitations and selection bias</w:t>
      </w:r>
    </w:p>
    <w:p>
      <w:pPr>
        <w:pStyle w:val="Heading2"/>
      </w:pPr>
      <w:r>
        <w:t xml:space="preserve">5.1 Mechanistic plausibility</w:t>
      </w:r>
    </w:p>
    <w:p>
      <w:pPr>
        <w:spacing w:after="140" w:line="276"/>
        <w:jc w:val="both"/>
      </w:pPr>
      <w:r>
        <w:t xml:space="preserve">The basic idea — that micro-elements influence the uptake of macro-elements — is not new and is widely recognised in the cattle nutrition literature. Well-known examples are the inhibitory effect of excess potassium on magnesium uptake, the role of vitamin D in calcium uptake, and the strong influence of the chemical form of trace elements (inorganic versus organic/hydroxy-bound) on their ultimate bioavailability in the small intestine.</w:t>
      </w:r>
    </w:p>
    <w:p>
      <w:pPr>
        <w:spacing w:after="140" w:line="276"/>
        <w:jc w:val="both"/>
      </w:pPr>
      <w:r>
        <w:t xml:space="preserve">It has been documented, for example, that excessive potassium in the ration inhibits magnesium uptake, which is an important reason why magnesium deficiencies can develop relatively quickly in dairy cattle [2]. Calcium uptake is also influenced by other minerals: an excess of phosphorus reduces calcium uptake, while high calcium levels can in turn reduce the uptake of magnesium, zinc, copper and cobalt [1]. For trace elements themselves, it has been shown that the source type (for example hydroxy- or amino-acid-bound forms) can greatly improve bioavailability in the small intestine compared with classic inorganic sulphate forms [3].</w:t>
      </w:r>
    </w:p>
    <w:p>
      <w:pPr>
        <w:spacing w:after="140" w:line="276"/>
        <w:jc w:val="both"/>
      </w:pPr>
      <w:r>
        <w:t xml:space="preserve">This background literature makes it plausible that a broad mineral concentrate such as Immutines™, with a large number of micro-elements alongside the macro-elements, can influence the uptake of Mg, K, Ca and P through such interactions. However, this is generic, indirect support for the principle — not specific evidence that Immutines™ does this, to what extent, or which of the 89 elements is responsible. This was precisely the question put to Jan Dijkstra that remained unanswered (chapter 4).</w:t>
      </w:r>
    </w:p>
    <w:p>
      <w:pPr>
        <w:pStyle w:val="Heading2"/>
      </w:pPr>
      <w:r>
        <w:t xml:space="preserve">5.2 Selection bias as the dominant alternative explanation</w:t>
      </w:r>
    </w:p>
    <w:p>
      <w:pPr>
        <w:spacing w:after="140" w:line="276"/>
        <w:jc w:val="both"/>
      </w:pPr>
      <w:r>
        <w:t xml:space="preserve">As explained in chapter 2, all underlying observations come from farms that came forward with a problem. This has three important implications for interpretation:</w:t>
      </w:r>
    </w:p>
    <w:p>
      <w:pPr>
        <w:pStyle w:val="ListParagraph"/>
        <w:numPr>
          <w:ilvl w:val="0"/>
          <w:numId w:val="2"/>
        </w:numPr>
        <w:spacing w:after="80" w:line="276"/>
        <w:jc w:val="both"/>
      </w:pPr>
      <w:r>
        <w:rPr>
          <w:b/>
          <w:bCs/>
        </w:rPr>
        <w:t xml:space="preserve">Regression to the mean: </w:t>
      </w:r>
      <w:r>
        <w:t xml:space="preserve">a farm with an acute problem (for example high butyric acid levels or many silent heats) has a greater chance of spontaneous improvement, simply because the starting situation was extreme.</w:t>
      </w:r>
    </w:p>
    <w:p>
      <w:pPr>
        <w:pStyle w:val="ListParagraph"/>
        <w:numPr>
          <w:ilvl w:val="0"/>
          <w:numId w:val="2"/>
        </w:numPr>
        <w:spacing w:after="80" w:line="276"/>
        <w:jc w:val="both"/>
      </w:pPr>
      <w:r>
        <w:rPr>
          <w:b/>
          <w:bCs/>
        </w:rPr>
        <w:t xml:space="preserve">Confirmation bias: </w:t>
      </w:r>
      <w:r>
        <w:t xml:space="preserve">farmers and hoof trimmers who know a product has been administered are more inclined to observe and report improvement than deterioration or no effect (publication bias towards positive stories).</w:t>
      </w:r>
    </w:p>
    <w:p>
      <w:pPr>
        <w:pStyle w:val="ListParagraph"/>
        <w:numPr>
          <w:ilvl w:val="0"/>
          <w:numId w:val="2"/>
        </w:numPr>
        <w:spacing w:after="80" w:line="276"/>
        <w:jc w:val="both"/>
      </w:pPr>
      <w:r>
        <w:rPr>
          <w:b/>
          <w:bCs/>
        </w:rPr>
        <w:t xml:space="preserve">Co-intervention: </w:t>
      </w:r>
      <w:r>
        <w:t xml:space="preserve">when a problem is reported, Immutines™ is often not the only measure; ration adjustments, additional veterinary support or other management measures are also used, so the effect cannot be isolated.</w:t>
      </w:r>
    </w:p>
    <w:p>
      <w:pPr>
        <w:spacing w:after="140" w:before="120" w:line="276"/>
        <w:jc w:val="both"/>
      </w:pPr>
      <w:r>
        <w:t xml:space="preserve">These factors do not mean that the observed effects do not exist, but they do mean that the current data do not allow us to determine how much of the observed effect can be attributed to Immutines™ itself.</w:t>
      </w:r>
    </w:p>
    <w:p>
      <w:pPr>
        <w:pStyle w:val="Heading2"/>
      </w:pPr>
      <w:r>
        <w:t xml:space="preserve">5.3 What the repetition of the observations is worth</w:t>
      </w:r>
    </w:p>
    <w:p>
      <w:pPr>
        <w:spacing w:after="140" w:line="276"/>
        <w:jc w:val="both"/>
      </w:pPr>
      <w:r>
        <w:t xml:space="preserve">Despite the limitations mentioned, it is not trivial that similar reports — particularly on heat expression, cleaning, coat and hoof quality — recur over twenty years and at diverse, mutually unconnected farms. Consistency of the signal over time and across independent observers is precisely the kind of information used to prioritise hypotheses for further research, even though it proves nothing in itself.</w:t>
      </w:r>
    </w:p>
    <w:p>
      <w:pPr>
        <w:pStyle w:val="Heading1"/>
      </w:pPr>
      <w:r>
        <w:t xml:space="preserve">6. Disclaimer and responsible use</w:t>
      </w:r>
    </w:p>
    <w:p>
      <w:pPr>
        <w:spacing w:after="140" w:line="276"/>
        <w:jc w:val="both"/>
      </w:pPr>
      <w:r>
        <w:t xml:space="preserve">This report is no substitute for veterinary diagnosis and treatment. If botulism (Clostridium botulinum), Clostridium perfringens infection or Salmonella outbreaks are suspected, a veterinarian must always be called in, especially in the case of acute clinical signs (paralysis, lethargy, fever, deaths). The protocols described in this report are based on practical experience with variable and non-guaranteed success, and must not be used as a reason to delay regular diagnosis or treatment.</w:t>
      </w:r>
    </w:p>
    <w:p>
      <w:pPr>
        <w:spacing w:after="140" w:line="276"/>
        <w:jc w:val="both"/>
      </w:pPr>
      <w:r>
        <w:t xml:space="preserve">Immutines™ and Impactpoeder are described in this report as supportive measures based on practical experience within broader ration and health management, not as proven medicines or as a substitute for veterinary care.</w:t>
      </w:r>
    </w:p>
    <w:p>
      <w:pPr>
        <w:pStyle w:val="Heading1"/>
      </w:pPr>
      <w:r>
        <w:t xml:space="preserve">7. Recommendations for further research</w:t>
      </w:r>
    </w:p>
    <w:p>
      <w:pPr>
        <w:spacing w:after="140" w:line="276"/>
        <w:jc w:val="both"/>
      </w:pPr>
      <w:r>
        <w:t xml:space="preserve">To test the observations described here further in an affordable way, without immediately undertaking the full (€250,000) research scope outlined by Wageningen University &amp; Research, the following steps may be considered:</w:t>
      </w:r>
    </w:p>
    <w:p>
      <w:pPr>
        <w:pStyle w:val="ListParagraph"/>
        <w:numPr>
          <w:ilvl w:val="0"/>
          <w:numId w:val="2"/>
        </w:numPr>
        <w:spacing w:after="80" w:line="276"/>
        <w:jc w:val="both"/>
      </w:pPr>
      <w:r>
        <w:rPr>
          <w:b/>
          <w:bCs/>
        </w:rPr>
        <w:t xml:space="preserve">Structured, prospective data collection: </w:t>
      </w:r>
      <w:r>
        <w:t xml:space="preserve">from now on, record baseline values (heat score, butyric acid content, horn hardness) at each participating farm before starting Immutines™ use, rather than relying solely on impressions reported afterwards.</w:t>
      </w:r>
    </w:p>
    <w:p>
      <w:pPr>
        <w:pStyle w:val="ListParagraph"/>
        <w:numPr>
          <w:ilvl w:val="0"/>
          <w:numId w:val="2"/>
        </w:numPr>
        <w:spacing w:after="80" w:line="276"/>
        <w:jc w:val="both"/>
      </w:pPr>
      <w:r>
        <w:rPr>
          <w:b/>
          <w:bCs/>
        </w:rPr>
        <w:t xml:space="preserve">Internal control comparison: </w:t>
      </w:r>
      <w:r>
        <w:t xml:space="preserve">on farms with several comparable groups, treat one group and (temporarily) not the other, to create at least a limited, on-farm comparison.</w:t>
      </w:r>
    </w:p>
    <w:p>
      <w:pPr>
        <w:pStyle w:val="ListParagraph"/>
        <w:numPr>
          <w:ilvl w:val="0"/>
          <w:numId w:val="2"/>
        </w:numPr>
        <w:spacing w:after="80" w:line="276"/>
        <w:jc w:val="both"/>
      </w:pPr>
      <w:r>
        <w:rPr>
          <w:b/>
          <w:bCs/>
        </w:rPr>
        <w:t xml:space="preserve">Phased, small-scale pilot: </w:t>
      </w:r>
      <w:r>
        <w:t xml:space="preserve">in collaboration with a university of applied sciences (for example Aeres or Van Hall Larenstein) or a local veterinary practice, at considerably lower cost than a full WUR study, focused on one concrete outcome measure (for example butyric acid reduction or horn hardness) with a limited number of farms.</w:t>
      </w:r>
    </w:p>
    <w:p>
      <w:pPr>
        <w:pStyle w:val="ListParagraph"/>
        <w:numPr>
          <w:ilvl w:val="0"/>
          <w:numId w:val="2"/>
        </w:numPr>
        <w:spacing w:after="80" w:line="276"/>
        <w:jc w:val="both"/>
      </w:pPr>
      <w:r>
        <w:rPr>
          <w:b/>
          <w:bCs/>
        </w:rPr>
        <w:t xml:space="preserve">Prioritisation based on this report: </w:t>
      </w:r>
      <w:r>
        <w:t xml:space="preserve">given the consistency of the reports, butyric acid reduction and horn quality are preferred as the first testable outcome measures, because they are objective and relatively inexpensive to measure (VFA analysis, horn hardness measurement).</w:t>
      </w:r>
    </w:p>
    <w:p>
      <w:pPr>
        <w:pStyle w:val="ListParagraph"/>
        <w:numPr>
          <w:ilvl w:val="0"/>
          <w:numId w:val="2"/>
        </w:numPr>
        <w:spacing w:after="80" w:line="276"/>
        <w:jc w:val="both"/>
      </w:pPr>
      <w:r>
        <w:rPr>
          <w:b/>
          <w:bCs/>
        </w:rPr>
        <w:t xml:space="preserve">Reconsidering the discussion with Jan Dijkstra: </w:t>
      </w:r>
      <w:r>
        <w:t xml:space="preserve">a much more narrowly defined research question (for example butyric acid only, instead of all 89 elements) could possibly be investigated at a fraction of the costs mentioned earlier.</w:t>
      </w:r>
    </w:p>
    <w:p>
      <w:pPr>
        <w:pStyle w:val="Heading1"/>
      </w:pPr>
      <w:r>
        <w:t xml:space="preserve">8. References</w:t>
      </w:r>
    </w:p>
    <w:p>
      <w:pPr>
        <w:pStyle w:val="ListParagraph"/>
        <w:numPr>
          <w:ilvl w:val="0"/>
          <w:numId w:val="3"/>
        </w:numPr>
        <w:spacing w:after="80"/>
      </w:pPr>
      <w:r>
        <w:rPr>
          <w:sz w:val="19"/>
          <w:szCs w:val="19"/>
        </w:rPr>
        <w:t xml:space="preserve">Farm Advisory Service Scotland. Cattle mineral supplementation. FAS.scot [internet]. Available at: https://www.fas.scot/article/cattle-mineral-supplementation/</w:t>
      </w:r>
    </w:p>
    <w:p>
      <w:pPr>
        <w:pStyle w:val="ListParagraph"/>
        <w:numPr>
          <w:ilvl w:val="0"/>
          <w:numId w:val="3"/>
        </w:numPr>
        <w:spacing w:after="80"/>
      </w:pPr>
      <w:r>
        <w:rPr>
          <w:sz w:val="19"/>
          <w:szCs w:val="19"/>
        </w:rPr>
        <w:t xml:space="preserve">Ohio State University Extension. Should you consider reducing mineral supplementation in periods of low milk prices? Buckeye Dairy News, Vol. 22, Issue 3. Available at: https://dairy.osu.edu/newsletter/buckeye-dairy-news/volume-22-issue-3/should-you-consider-reducing-mineral-supplementation</w:t>
      </w:r>
    </w:p>
    <w:p>
      <w:pPr>
        <w:pStyle w:val="ListParagraph"/>
        <w:numPr>
          <w:ilvl w:val="0"/>
          <w:numId w:val="3"/>
        </w:numPr>
        <w:spacing w:after="80"/>
      </w:pPr>
      <w:r>
        <w:rPr>
          <w:sz w:val="19"/>
          <w:szCs w:val="19"/>
        </w:rPr>
        <w:t xml:space="preserve">Beef Magazine. 5 things to consider when looking at mineral supplementation. Available at: https://www.beefmagazine.com/nutrition/5-things-consider-when-looking-mineral-supplementation (citing Spears JW, et al. 2004, on the bioavailability of hydroxy trace minerals).</w:t>
      </w:r>
    </w:p>
    <w:p>
      <w:pPr>
        <w:pStyle w:val="ListParagraph"/>
        <w:numPr>
          <w:ilvl w:val="0"/>
          <w:numId w:val="3"/>
        </w:numPr>
        <w:spacing w:after="80"/>
      </w:pPr>
      <w:r>
        <w:rPr>
          <w:sz w:val="19"/>
          <w:szCs w:val="19"/>
        </w:rPr>
        <w:t xml:space="preserve">Diallo BT. Mineral metabolism and health status of dairy cattle fed adjusted mineral supplementation. Presentation, Animine/INRAE, EAAP 2024. Available at: https://docs.eaap.org/2024/m221/S49T01.pdf</w:t>
      </w:r>
    </w:p>
    <w:p>
      <w:pPr>
        <w:pStyle w:val="ListParagraph"/>
        <w:numPr>
          <w:ilvl w:val="0"/>
          <w:numId w:val="3"/>
        </w:numPr>
        <w:spacing w:after="80"/>
      </w:pPr>
      <w:r>
        <w:rPr>
          <w:sz w:val="19"/>
          <w:szCs w:val="19"/>
        </w:rPr>
        <w:t xml:space="preserve">The Cattle Site. Mineral interactions and supplementation for beef cows. Ohio State University Extension Beef Team. Available at: https://www.thecattlesite.com/articles/1787/mineral-interactions-and-supplementation-for-beef-cows</w:t>
      </w:r>
    </w:p>
    <w:p>
      <w:pPr>
        <w:pStyle w:val="ListParagraph"/>
        <w:numPr>
          <w:ilvl w:val="0"/>
          <w:numId w:val="3"/>
        </w:numPr>
        <w:spacing w:after="80"/>
      </w:pPr>
      <w:r>
        <w:rPr>
          <w:sz w:val="19"/>
          <w:szCs w:val="19"/>
        </w:rPr>
        <w:t xml:space="preserve">Virginia Tech Cooperative Extension. Trace mineral supplementation is often times confusing. Engormix, 2008. Available at: https://en.engormix.com/MA-dairy-cattle/news/trace-mineral-supplementation-often-t12396/p0.htm</w:t>
      </w:r>
    </w:p>
    <w:p>
      <w:pPr>
        <w:pStyle w:val="ListParagraph"/>
        <w:numPr>
          <w:ilvl w:val="0"/>
          <w:numId w:val="3"/>
        </w:numPr>
        <w:spacing w:after="80"/>
      </w:pPr>
      <w:r>
        <w:rPr>
          <w:sz w:val="19"/>
          <w:szCs w:val="19"/>
        </w:rPr>
        <w:t xml:space="preserve">Hoard's Dairyman. Forages fit for fresh cows. Available at: https://hoards.com/article-24873-Forages-fit-for-fresh-cows.html</w:t>
      </w:r>
    </w:p>
    <w:p>
      <w:pPr>
        <w:pStyle w:val="ListParagraph"/>
        <w:numPr>
          <w:ilvl w:val="0"/>
          <w:numId w:val="3"/>
        </w:numPr>
        <w:spacing w:after="80"/>
      </w:pPr>
      <w:r>
        <w:rPr>
          <w:sz w:val="19"/>
          <w:szCs w:val="19"/>
        </w:rPr>
        <w:t xml:space="preserve">Vita Plus (Windle M). Avoid the stink: clostridia and butyric fermentation in silage. Available at: https://www.vitaplus.com/?p=2029</w:t>
      </w:r>
    </w:p>
    <w:p>
      <w:pPr>
        <w:pStyle w:val="ListParagraph"/>
        <w:numPr>
          <w:ilvl w:val="0"/>
          <w:numId w:val="3"/>
        </w:numPr>
        <w:spacing w:after="80"/>
      </w:pPr>
      <w:r>
        <w:rPr>
          <w:sz w:val="19"/>
          <w:szCs w:val="19"/>
        </w:rPr>
        <w:t xml:space="preserve">University of Vermont Extension (Machia A, Darby H). Clostridial contamination in forage — botulism, blackleg and related risks. Dec 2023. Available at: https://www.uvm.edu/d10-files/documents/2024-06/Clostridial_Contamination_Dec2023.pdf</w:t>
      </w:r>
    </w:p>
    <w:p>
      <w:pPr>
        <w:pStyle w:val="ListParagraph"/>
        <w:numPr>
          <w:ilvl w:val="0"/>
          <w:numId w:val="3"/>
        </w:numPr>
        <w:spacing w:after="80"/>
      </w:pPr>
      <w:r>
        <w:rPr>
          <w:sz w:val="19"/>
          <w:szCs w:val="19"/>
        </w:rPr>
        <w:t xml:space="preserve">Lallemand Animal Nutrition (Magniva). Clostridial fermentation: causes, risks and management in silage. Available at: https://magniva.lallemandanimalnutrition.com/en/usa/make-quality-silage/avoid-pitfalls/clostridial-fermentation/</w:t>
      </w:r>
    </w:p>
    <w:p>
      <w:pPr>
        <w:pStyle w:val="ListParagraph"/>
        <w:numPr>
          <w:ilvl w:val="0"/>
          <w:numId w:val="3"/>
        </w:numPr>
        <w:spacing w:after="80"/>
      </w:pPr>
      <w:r>
        <w:rPr>
          <w:sz w:val="19"/>
          <w:szCs w:val="19"/>
        </w:rPr>
        <w:t xml:space="preserve">Jacobsen S. Vier mineralen meten in één bloedmonster [Measuring four minerals in one blood sample]. Melkvee.nl / Gezondheidsdienst voor Dieren (GD). Available at: https://melkvee.nl/artikel/57594-vier-mineralen-meten-in-een-bloedmonster</w:t>
      </w:r>
    </w:p>
    <w:p>
      <w:pPr>
        <w:pStyle w:val="ListParagraph"/>
        <w:numPr>
          <w:ilvl w:val="0"/>
          <w:numId w:val="3"/>
        </w:numPr>
        <w:spacing w:after="80"/>
      </w:pPr>
      <w:r>
        <w:rPr>
          <w:sz w:val="19"/>
          <w:szCs w:val="19"/>
        </w:rPr>
        <w:t xml:space="preserve">Veling J, Muskens J (Gezondheidsdienst voor Dieren). GD-masterclass 'Minder of meer mineralen voeren' [Feeding fewer or more minerals]: reduced trace-element supply on more than 25% of dairy farms based on bulk tank milk testing. Wageningen University &amp; Research. Available at: https://edepot.wur.nl/331991</w:t>
      </w:r>
    </w:p>
    <w:p>
      <w:pPr>
        <w:pStyle w:val="ListParagraph"/>
        <w:numPr>
          <w:ilvl w:val="0"/>
          <w:numId w:val="3"/>
        </w:numPr>
        <w:spacing w:after="80"/>
      </w:pPr>
      <w:r>
        <w:rPr>
          <w:sz w:val="19"/>
          <w:szCs w:val="19"/>
        </w:rPr>
        <w:t xml:space="preserve">Wageningen University &amp; Research. Selenium status of cattle at turnout to pasture; selenium deficiency in approximately 15% of animals in May. Available at: https://edepot.wur.nl/168536</w:t>
      </w:r>
    </w:p>
    <w:p>
      <w:pPr>
        <w:pStyle w:val="ListParagraph"/>
        <w:numPr>
          <w:ilvl w:val="0"/>
          <w:numId w:val="3"/>
        </w:numPr>
        <w:spacing w:after="80"/>
      </w:pPr>
      <w:r>
        <w:rPr>
          <w:sz w:val="19"/>
          <w:szCs w:val="19"/>
        </w:rPr>
        <w:t xml:space="preserve">BLGG AgroXpertus (Reijneveld A). 'Nutriëntentekort bodem steeds zichtbaarder' [Soil nutrient deficiency increasingly visible]: effect of the stricter manure legislation (Minas) on the trace elements zinc, iron and copper in soil. Melkvee.nl. Available at: https://melkvee.nl/artikel/48184-nutriententekort-bodem-steeds-zichtbaarder</w:t>
      </w:r>
    </w:p>
    <w:p>
      <w:pPr>
        <w:pStyle w:val="ListParagraph"/>
        <w:numPr>
          <w:ilvl w:val="0"/>
          <w:numId w:val="3"/>
        </w:numPr>
        <w:spacing w:after="80"/>
      </w:pPr>
      <w:r>
        <w:rPr>
          <w:sz w:val="19"/>
          <w:szCs w:val="19"/>
        </w:rPr>
        <w:t xml:space="preserve">Briland E, Kronqvist C. Magnesium absorption in dairy cattle: average absorption coefficient, influence of the potassium/magnesium ratio and variable quality of magnesium oxide. Sveriges lantbruksuniversitet (SLU), student report. Available at: https://stud.epsilon.slu.se/12396/1/briland_e_kronqvist_c_171018.pdf</w:t>
      </w:r>
    </w:p>
    <w:p>
      <w:pPr>
        <w:pStyle w:val="ListParagraph"/>
        <w:numPr>
          <w:ilvl w:val="0"/>
          <w:numId w:val="3"/>
        </w:numPr>
        <w:spacing w:after="80"/>
      </w:pPr>
      <w:r>
        <w:rPr>
          <w:sz w:val="19"/>
          <w:szCs w:val="19"/>
        </w:rPr>
        <w:t xml:space="preserve">Landbrugsavisen. Sådan holder du køerne i balance med magnesium [Keeping cows in balance with magnesium]: potassium inhibition of magnesium uptake already at 1–3% potassium in dry matter. Available at: https://landbrugsavisen.dk/kvaeg/saadan-holder-du-koeerne-i-balance-med-magnesium-151779</w:t>
      </w:r>
    </w:p>
    <w:p>
      <w:pPr>
        <w:spacing w:before="400"/>
        <w:jc w:val="center"/>
      </w:pPr>
      <w:r>
        <w:rPr>
          <w:i/>
          <w:iCs/>
          <w:color w:val="666666"/>
          <w:sz w:val="18"/>
          <w:szCs w:val="18"/>
        </w:rPr>
        <w:t xml:space="preserve">Author: H. Heida — Koolstofkring BV — Independent Practice Review — 16 September 2026</w:t>
      </w:r>
    </w:p>
    <w:sectPr>
      <w:headerReference w:type="default" r:id="rId7"/>
      <w:footerReference w:type="default" r:id="rId8"/>
      <w:pgSz w:w="11906" w:h="16838" w:orient="portrait"/>
      <w:pgMar w:top="1440" w:right="1440" w:bottom="1440" w:left="144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8"/>
        <w:szCs w:val="18"/>
      </w:rPr>
      <w:t xml:space="preserve">Page </w:t>
    </w:r>
    <w:r>
      <w:rPr>
        <w:color w:val="666666"/>
        <w:sz w:val="18"/>
        <w:szCs w:val="18"/>
      </w:rPr>
      <w:fldChar w:fldCharType="begin"/>
      <w:instrText xml:space="preserve">PAGE</w:instrText>
      <w:fldChar w:fldCharType="separate"/>
      <w:fldChar w:fldCharType="end"/>
    </w:r>
    <w:r>
      <w:rPr>
        <w:color w:val="666666"/>
        <w:sz w:val="18"/>
        <w:szCs w:val="18"/>
      </w:rPr>
      <w:t xml:space="preserve"> of </w:t>
    </w:r>
    <w:r>
      <w:rPr>
        <w:color w:val="666666"/>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66666"/>
        <w:sz w:val="18"/>
        <w:szCs w:val="18"/>
      </w:rPr>
      <w:t xml:space="preserve">Koolstofkring BV — Immutines™ practice report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540" w:hanging="54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20"/>
      <w:outlineLvl w:val="0"/>
    </w:pPr>
    <w:rPr>
      <w:rFonts w:ascii="Calibri" w:cs="Calibri" w:eastAsia="Calibri" w:hAnsi="Calibri"/>
      <w:b/>
      <w:bCs/>
      <w:color w:val="1F3864"/>
      <w:sz w:val="30"/>
      <w:szCs w:val="30"/>
    </w:rPr>
  </w:style>
  <w:style w:type="paragraph" w:styleId="Heading2">
    <w:name w:val="Heading 2"/>
    <w:basedOn w:val="Normal"/>
    <w:next w:val="Normal"/>
    <w:qFormat/>
    <w:pPr>
      <w:spacing w:after="120" w:before="240"/>
      <w:outlineLvl w:val="1"/>
    </w:pPr>
    <w:rPr>
      <w:rFonts w:ascii="Calibri" w:cs="Calibri" w:eastAsia="Calibri" w:hAnsi="Calibri"/>
      <w:b/>
      <w:bCs/>
      <w:color w:val="2E5597"/>
      <w:sz w:val="25"/>
      <w:szCs w:val="25"/>
    </w:rPr>
  </w:style>
  <w:style w:type="paragraph" w:styleId="Heading3">
    <w:name w:val="Heading 3"/>
    <w:basedOn w:val="Normal"/>
    <w:next w:val="Normal"/>
    <w:qFormat/>
    <w:pPr>
      <w:spacing w:after="100" w:before="200"/>
      <w:outlineLvl w:val="2"/>
    </w:pPr>
    <w:rPr>
      <w:rFonts w:ascii="Calibri" w:cs="Calibri" w:eastAsia="Calibri" w:hAnsi="Calibri"/>
      <w:b/>
      <w:bCs/>
      <w:i/>
      <w:iCs/>
      <w:color w:val="2E5597"/>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2026-09-25T07:15:42.433Z</dcterms:created>
  <dcterms:modified xsi:type="dcterms:W3CDTF">2026-09-25T07:15:42.441Z</dcterms:modified>
</cp:coreProperties>
</file>

<file path=docProps/custom.xml><?xml version="1.0" encoding="utf-8"?>
<Properties xmlns="http://schemas.openxmlformats.org/officeDocument/2006/custom-properties" xmlns:vt="http://schemas.openxmlformats.org/officeDocument/2006/docPropsVTypes"/>
</file>