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b/>
          <w:bCs/>
          <w:color w:val="1F3864"/>
          <w:sz w:val="40"/>
          <w:szCs w:val="40"/>
        </w:rPr>
        <w:t xml:space="preserve">Feldbeobachtungen und Anwendererfahrungen mit Immutines™ bei Milchvieh</w:t>
      </w:r>
    </w:p>
    <w:p>
      <w:pPr>
        <w:spacing w:after="600"/>
        <w:jc w:val="center"/>
      </w:pPr>
      <w:r>
        <w:rPr>
          <w:i/>
          <w:iCs/>
          <w:sz w:val="26"/>
          <w:szCs w:val="26"/>
        </w:rPr>
        <w:t xml:space="preserve">Ein explorativer Praxisbericht auf Grundlage von zwanzig Jahren Beobachtungen ausschließlich in Problembetrieben</w:t>
      </w:r>
    </w:p>
    <w:p>
      <w:pPr>
        <w:spacing w:after="80"/>
        <w:jc w:val="center"/>
      </w:pPr>
      <w:r>
        <w:rPr>
          <w:b/>
          <w:bCs/>
          <w:sz w:val="24"/>
          <w:szCs w:val="24"/>
        </w:rPr>
        <w:t xml:space="preserve">H. Heida</w:t>
      </w:r>
    </w:p>
    <w:p>
      <w:pPr>
        <w:spacing w:after="80"/>
        <w:jc w:val="center"/>
      </w:pPr>
      <w:r>
        <w:rPr>
          <w:b w:val="false"/>
          <w:bCs w:val="false"/>
          <w:sz w:val="24"/>
          <w:szCs w:val="24"/>
        </w:rPr>
        <w:t xml:space="preserve">Koolstofkring BV</w:t>
      </w:r>
    </w:p>
    <w:p>
      <w:pPr>
        <w:spacing w:after="80"/>
        <w:jc w:val="center"/>
      </w:pPr>
      <w:r>
        <w:rPr>
          <w:b w:val="false"/>
          <w:bCs w:val="false"/>
          <w:sz w:val="24"/>
          <w:szCs w:val="24"/>
        </w:rPr>
        <w:t xml:space="preserve">16. September 2026</w:t>
      </w:r>
    </w:p>
    <w:p>
      <w:r>
        <w:br w:type="page"/>
      </w:r>
    </w:p>
    <w:p>
      <w:pPr>
        <w:pStyle w:val="Heading1"/>
      </w:pPr>
      <w:r>
        <w:t xml:space="preserve">Zusammenfassung</w:t>
      </w:r>
    </w:p>
    <w:p>
      <w:pPr>
        <w:spacing w:after="140" w:line="276"/>
        <w:jc w:val="both"/>
      </w:pPr>
      <w:r>
        <w:t xml:space="preserve">Dieser Bericht fasst zwanzig Jahre Feldbeobachtungen und Kundenmeldungen zur Anwendung von Immutines™, einem Meerwasserkonzentrat der Koolstofkring BV, bei Milchvieh zusammen. Die zentrale Arbeitshypothese lautet, dass die enthaltenen Mikroelemente die Aufnahme von Makroelementen fördern — insbesondere Magnesium (Mg), Kalium (K), Calcium (Ca) und Phosphor (P). Wiederholt gemeldete Effekte betreffen die Fruchtbarkeit (Brunstausprägung), eine schnellere und vollständigere Rückbildung der Gebärmutter nach der Kalbung (weniger Kürettagen durch den Tierarzt), eine verbesserte Fellqualität (Glanz, schärfere Farbkontraste), härtere Klauen sowie eine höhere Futteraufnahme von Maissilage nach dem Besprühen mit dem Produkt. Darüber hinaus wird ein spezifisches Dosierungsprotokoll beschrieben (15 ml Immutines™ plus 200 Gramm Impactpoeder), das bei Buttersäureproblemen (Clostridium butyricum) innerhalb von etwa einer Woche eine Verbesserung zeigt. Auch bei Clostridium botulinum und Clostridium perfringens gelingt häufig eine Verbesserung, wenn auch mit wechselndem Erfolg, und in Kombination mit Milchsäurebakterien scheinen auch Salmonellenprobleme abzunehmen.</w:t>
      </w:r>
    </w:p>
    <w:p>
      <w:pPr>
        <w:spacing w:after="140" w:line="276"/>
        <w:jc w:val="both"/>
      </w:pPr>
      <w:r>
        <w:t xml:space="preserve">Ergänzend beschreibt dieser Bericht, dass Koolstofkring BV festgestellte Mineralstoffprobleme nicht ausschließlich mit Immutines™ angeht, sondern auch mit Kohlenstoff (Tonmineralen), und stellt die Praxiserfahrung in den breiteren Kontext der niederländischen Mineralstoffversorgung. Trotz einer niedrigen Immutines™-Dosierung (13 ml) als Futterzusatz werden bei den Mineralstoffuntersuchungen der GD (Gezondheidsdienst voor Dieren, niederländischer Tiergesundheitsdienst) bei Kunden der Koolstofkring BV selten Mängel festgestellt, während die eigenen Grundfutteranalysen derselben Betriebe immer häufiger einen Mangel an Selen, Kupfer, Kobalt und Calcium zeigen. Dies ist ein landesweit anerkanntes Problem, das mit einseitiger Düngung, Mineralstoffabfuhr über Gülleexport und fehlendem Wissen über die Verfügbarkeit verschiedener Mineralstoffformen zusammenhängt (zum Beispiel Magnesiumoxid gegenüber Magnesiumchlorid oder -citrat).</w:t>
      </w:r>
    </w:p>
    <w:p>
      <w:pPr>
        <w:spacing w:after="140" w:line="276"/>
        <w:jc w:val="both"/>
      </w:pPr>
      <w:r>
        <w:rPr>
          <w:i/>
          <w:iCs/>
        </w:rPr>
        <w:t xml:space="preserve">Dieser Bericht ist ausdrücklich kein empirischer Beweis im wissenschaftlichen Sinne. Die zugrunde liegenden Daten wurden nicht mit einer Kontrollgruppe, Randomisierung oder Verblindung erhoben und stammen ausschließlich von Betrieben, die sich mit einem Problem gemeldet haben — eine grundlegende Selektionsverzerrung, die in der Diskussion näher erläutert wird. Der Bericht dient als strukturierte Darstellung von Praxiswissen und als Grundlage für die Formulierung überprüfbarer Hypothesen für künftige kontrollierte Forschung.</w:t>
      </w:r>
    </w:p>
    <w:p>
      <w:pPr>
        <w:pStyle w:val="Heading1"/>
      </w:pPr>
      <w:r>
        <w:t xml:space="preserve">Inhaltsverzeichnis</w:t>
      </w:r>
    </w:p>
    <w:p>
      <w:pPr>
        <w:spacing w:after="60"/>
      </w:pPr>
      <w:r>
        <w:t xml:space="preserve">1. Einleitung und Hintergrund</w:t>
      </w:r>
    </w:p>
    <w:p>
      <w:pPr>
        <w:spacing w:after="60"/>
      </w:pPr>
      <w:r>
        <w:t xml:space="preserve">2. Methode und Datengrundlage — 20 Jahre, ausschließlich Problembetriebe</w:t>
      </w:r>
    </w:p>
    <w:p>
      <w:pPr>
        <w:spacing w:after="60"/>
      </w:pPr>
      <w:r>
        <w:t xml:space="preserve">3. Ergebnisse nach Themen (inkl. 3.8 Kohlenstoff/Tonminerale und die breitere Mineralstoffproblematik)</w:t>
      </w:r>
    </w:p>
    <w:p>
      <w:pPr>
        <w:spacing w:after="60"/>
      </w:pPr>
      <w:r>
        <w:t xml:space="preserve">4. Der Kontakt mit Dr. Ir. Jan Dijkstra (Wageningen University &amp; Research)</w:t>
      </w:r>
    </w:p>
    <w:p>
      <w:pPr>
        <w:spacing w:after="60"/>
      </w:pPr>
      <w:r>
        <w:t xml:space="preserve">5. Diskussion: Plausibilität, Einschränkungen und Selektionsverzerrung</w:t>
      </w:r>
    </w:p>
    <w:p>
      <w:pPr>
        <w:spacing w:after="60"/>
      </w:pPr>
      <w:r>
        <w:t xml:space="preserve">6. Haftungsausschluss und verantwortungsvolle Anwendung</w:t>
      </w:r>
    </w:p>
    <w:p>
      <w:pPr>
        <w:spacing w:after="60"/>
      </w:pPr>
      <w:r>
        <w:t xml:space="preserve">7. Empfehlungen für weiterführende Forschung</w:t>
      </w:r>
    </w:p>
    <w:p>
      <w:pPr>
        <w:spacing w:after="60"/>
      </w:pPr>
      <w:r>
        <w:t xml:space="preserve">8. Literatur</w:t>
      </w:r>
    </w:p>
    <w:p>
      <w:r>
        <w:br w:type="page"/>
      </w:r>
    </w:p>
    <w:p>
      <w:pPr>
        <w:pStyle w:val="Heading1"/>
      </w:pPr>
      <w:r>
        <w:t xml:space="preserve">1. Einleitung und Hintergrund</w:t>
      </w:r>
    </w:p>
    <w:p>
      <w:pPr>
        <w:spacing w:after="140" w:line="276"/>
        <w:jc w:val="both"/>
      </w:pPr>
      <w:r>
        <w:t xml:space="preserve">Koolstofkring BV vertreibt Immutines™, ein Konzentrat auf Meerwasserbasis mit einem breiten Spektrum an Mineralstoffen — laut interner Analyse etwa 89 Elemente, darunter eine Reihe von Mikroelementen (Spurenelementen) neben den bekannten Makroelementen. Die innerhalb des Unternehmens und aufgrund von Kundensignalen entstandene Arbeitshypothese lautet, dass die enthaltenen Spurenelemente als Co-Faktor oder Transportförderer für die Aufnahme von Makroelementen wirken, insbesondere von Magnesium, Kalium, Calcium und Phosphor.</w:t>
      </w:r>
    </w:p>
    <w:p>
      <w:pPr>
        <w:spacing w:after="140" w:line="276"/>
        <w:jc w:val="both"/>
      </w:pPr>
      <w:r>
        <w:t xml:space="preserve">Diese Hypothese steht im Einklang mit einem breiter anerkannten Prinzip der Rinderernährung: Makro- und Mikroelemente wirken nicht isoliert, sondern beeinflussen gegenseitig ihre Verfügbarkeit und Aufnahme über Antagonismus und Synergie im Magen-Darm-Trakt. So ist beispielsweise dokumentiert, dass ein Kaliumüberschuss die Magnesiumaufnahme hemmt und dass die Form, in der Spurenelemente angeboten werden (anorganisch versus organisch/hydroxy-gebunden), maßgeblich die letztendliche Bioverfügbarkeit dieser Spurenelemente im Dünndarm bestimmt. Die im Folgenden beschriebene verbesserte Aufnahme von Makroelementen durch Immutines™ wurde intern mittels rektaler Messungen (fäkale/rektale Mineralstoffbestimmung) geprüft; dies ist eine praxisorientierte Messmethode, keine veröffentlichte, peer-reviewte Aufnahmestudie, und die Ergebnisse sind daher als indikativ zu verstehen.</w:t>
      </w:r>
    </w:p>
    <w:p>
      <w:pPr>
        <w:spacing w:after="140" w:line="276"/>
        <w:jc w:val="both"/>
      </w:pPr>
      <w:r>
        <w:t xml:space="preserve">Neben der Hypothese zur Mineralstoffaufnahme haben sich im Laufe der Jahre aus Kundenerfahrungen zwei weitere Anwendungslinien ergeben: (a) eine verbesserte Aufnahme von Grundfutter (insbesondere Mais) nach dem Besprühen mit Immutines™ und (b) ein Dosierungsprotokoll gegen Buttersäurebakterien (Clostridium-Arten) und Salmonellen in Kombination mit Impactpoeder und Milchsäurebakterien. Beide werden in Kapitel 3 beschrieben.</w:t>
      </w:r>
    </w:p>
    <w:p>
      <w:pPr>
        <w:pStyle w:val="Heading1"/>
      </w:pPr>
      <w:r>
        <w:t xml:space="preserve">2. Methode und Datengrundlage — 20 Jahre, ausschließlich Problembetriebe</w:t>
      </w:r>
    </w:p>
    <w:p>
      <w:pPr>
        <w:spacing w:after="140" w:line="276"/>
        <w:jc w:val="both"/>
      </w:pPr>
      <w:r>
        <w:t xml:space="preserve">Grundlage dieses Berichts sind unstrukturierte und halbstrukturierte Rückmeldungen von Kunden der Koolstofkring BV, gesammelt über einen Zeitraum von etwa zwanzig Jahren. Diese Rückmeldungen kamen über direkte Kundenkontakte, telefonische und mündliche Meldungen sowie Beobachtungen Dritter, die die Betriebe besuchten (Tierärzte, Klauenpfleger).</w:t>
      </w:r>
    </w:p>
    <w:p>
      <w:pPr>
        <w:pStyle w:val="Heading2"/>
      </w:pPr>
      <w:r>
        <w:t xml:space="preserve">2.1 Entscheidende methodische Einschränkung: Auswahl ausschließlich von Problembetrieben</w:t>
      </w:r>
    </w:p>
    <w:p>
      <w:pPr>
        <w:spacing w:after="140" w:line="276"/>
        <w:jc w:val="both"/>
      </w:pPr>
      <w:r>
        <w:t xml:space="preserve">Die Betriebe, aus denen die Beobachtungen in diesem Bericht stammen, sind nahezu ausnahmslos Betriebe, die sich meldeten, weil sie ein Problem hatten — Fruchtbarkeitsprobleme, Buttersäure in der Ration, Klauenprobleme, enttäuschende Futteraufnahme. Es gibt keinerlei Vergleich mit Betrieben ohne Probleme oder mit einer Zufallsstichprobe „durchschnittlicher“ Betriebe. Die Zahl der Betriebe, die im Laufe der Jahre mit dem Koolstofkring-Ansatz behandelt wurden, geht im Übrigen in die Hunderte.</w:t>
      </w:r>
    </w:p>
    <w:p>
      <w:pPr>
        <w:spacing w:after="140" w:line="276"/>
        <w:jc w:val="both"/>
      </w:pPr>
      <w:r>
        <w:t xml:space="preserve">Dieser Umfang ist nicht bedeutungslos: Eine große, wiederholte Anzahl unabhängiger Meldungen erhöht die Wahrscheinlichkeit, dass ein beobachtetes Muster ein reales Signal und keinen Zufall widerspiegelt, und gibt dem einzelnen Landwirt ein praktisches, für ihn relevantes Entscheidungskriterium — das Kosten-Nutzen-Verhältnis auf seinem eigenen Betrieb. Dies gleicht jedoch das Fehlen von Randomisierung, Verblindung und Kontrollgruppe, die im Folgenden erläutert werden, nicht aus: Eine große Zahl unkontrollierter Beobachtungen ist methodisch etwas anderes als eine kleine Zahl kontrollierter, verblindeter Beobachtungen, und beide lassen sich nicht einfach als „mehr“ oder „weniger“ Evidenz gegeneinander abwägen. Beide haben ihren eigenen Wert und ihren eigenen blinden Fleck.</w:t>
      </w:r>
    </w:p>
    <w:p>
      <w:pPr>
        <w:spacing w:after="140" w:line="276"/>
        <w:jc w:val="both"/>
      </w:pPr>
      <w:r>
        <w:t xml:space="preserve">Dies ist eine grundlegende und nicht zu unterschätzende Quelle der Verzerrung (Selektionsverzerrung). Betriebe mit einem Problem haben per Definition mehr Spielraum für Verbesserung (Regression zur Mitte): Eine Verbesserung nach einer Intervention in einem Problembetrieb kann teilweise oder vollständig den natürlichen Verlauf des Problems widerspiegeln, unabhängig von der verabreichten Substanz. Ohne eine vergleichbare, unbehandelte Kontrollgruppe gleich schwerer Problembetriebe lässt sich kein kausaler Zusammenhang zwischen der Gabe von Immutines™ und den beobachteten Verbesserungen feststellen.</w:t>
      </w:r>
    </w:p>
    <w:p>
      <w:pPr>
        <w:spacing w:after="140" w:line="276"/>
        <w:jc w:val="both"/>
      </w:pPr>
      <w:r>
        <w:t xml:space="preserve">Weitere methodische Merkmale, die für die Interpretation dieses Berichts von Bedeutung sind:</w:t>
      </w:r>
    </w:p>
    <w:p>
      <w:pPr>
        <w:pStyle w:val="ListParagraph"/>
        <w:numPr>
          <w:ilvl w:val="0"/>
          <w:numId w:val="2"/>
        </w:numPr>
        <w:spacing w:after="80" w:line="276"/>
        <w:jc w:val="both"/>
      </w:pPr>
      <w:r>
        <w:rPr>
          <w:b/>
          <w:bCs/>
        </w:rPr>
        <w:t xml:space="preserve">Keine Randomisierung: </w:t>
      </w:r>
      <w:r>
        <w:t xml:space="preserve">Die Betriebe entschieden sich selbst für die Anwendung, häufig auf Empfehlung der Koolstofkring BV oder ihres Futtermittellieferanten.</w:t>
      </w:r>
    </w:p>
    <w:p>
      <w:pPr>
        <w:pStyle w:val="ListParagraph"/>
        <w:numPr>
          <w:ilvl w:val="0"/>
          <w:numId w:val="2"/>
        </w:numPr>
        <w:spacing w:after="80" w:line="276"/>
        <w:jc w:val="both"/>
      </w:pPr>
      <w:r>
        <w:rPr>
          <w:b/>
          <w:bCs/>
        </w:rPr>
        <w:t xml:space="preserve">Keine Verblindung: </w:t>
      </w:r>
      <w:r>
        <w:t xml:space="preserve">Landwirt, Klauenpfleger und Tierarzt wussten, dass das Produkt verabreicht wurde, was Erwartungseffekte (Bestätigungsfehler) bei der Beobachtung nicht ausschließt.</w:t>
      </w:r>
    </w:p>
    <w:p>
      <w:pPr>
        <w:pStyle w:val="ListParagraph"/>
        <w:numPr>
          <w:ilvl w:val="0"/>
          <w:numId w:val="2"/>
        </w:numPr>
        <w:spacing w:after="80" w:line="276"/>
        <w:jc w:val="both"/>
      </w:pPr>
      <w:r>
        <w:rPr>
          <w:b/>
          <w:bCs/>
        </w:rPr>
        <w:t xml:space="preserve">Keine systematischen, vorab festgelegten Endpunkte: </w:t>
      </w:r>
      <w:r>
        <w:t xml:space="preserve">Die Meldungen erfolgen spontan und unterscheiden sich je nach Betrieb in Form und Detail.</w:t>
      </w:r>
    </w:p>
    <w:p>
      <w:pPr>
        <w:pStyle w:val="ListParagraph"/>
        <w:numPr>
          <w:ilvl w:val="0"/>
          <w:numId w:val="2"/>
        </w:numPr>
        <w:spacing w:after="80" w:line="276"/>
        <w:jc w:val="both"/>
      </w:pPr>
      <w:r>
        <w:rPr>
          <w:b/>
          <w:bCs/>
        </w:rPr>
        <w:t xml:space="preserve">Unbekannte genaue Anzahl an Betrieben und Tieren; </w:t>
      </w:r>
      <w:r>
        <w:t xml:space="preserve">die Meldungen wurden über zwei Jahrzehnte kumulativ ohne zentrale Datenbank gesammelt.</w:t>
      </w:r>
    </w:p>
    <w:p>
      <w:pPr>
        <w:pStyle w:val="ListParagraph"/>
        <w:numPr>
          <w:ilvl w:val="0"/>
          <w:numId w:val="2"/>
        </w:numPr>
        <w:spacing w:after="80" w:line="276"/>
        <w:jc w:val="both"/>
      </w:pPr>
      <w:r>
        <w:rPr>
          <w:b/>
          <w:bCs/>
        </w:rPr>
        <w:t xml:space="preserve">Gleichzeitige Managementfaktoren </w:t>
      </w:r>
      <w:r>
        <w:t xml:space="preserve">(Rationsänderung, Jahreszeit, andere Maßnahmen) wurden nicht systematisch ausgeschlossen.</w:t>
      </w:r>
    </w:p>
    <w:p>
      <w:pPr>
        <w:spacing w:after="140" w:before="120" w:line="276"/>
        <w:jc w:val="both"/>
      </w:pPr>
      <w:r>
        <w:t xml:space="preserve">Diese Einschränkungen bedeuten nicht, dass die Beobachtungen wertlos sind — wiederholte, unabhängige Meldungen vergleichbarer Effekte durch verschiedene Landwirte, die über einen langen Zeitraum nicht miteinander in Kontakt stehen, haben durchaus Signalwert und sind eine legitime Grundlage für die Hypothesenbildung. Sie sind jedoch kein Wirksamkeitsnachweis und dürfen nicht als solcher dargestellt werden.</w:t>
      </w:r>
    </w:p>
    <w:p>
      <w:pPr>
        <w:pStyle w:val="Heading2"/>
      </w:pPr>
      <w:r>
        <w:t xml:space="preserve">2.2 Evidenztabelle — Lesehilfe</w:t>
      </w:r>
    </w:p>
    <w:p>
      <w:pPr>
        <w:spacing w:after="140" w:line="276"/>
        <w:jc w:val="both"/>
      </w:pPr>
      <w:r>
        <w:t xml:space="preserve">Jedes Ergebnis in Kapitel 3 ist mit einer Stufenbezeichnung versehen, die das Evidenzniveau angibt: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3600"/>
        <w:gridCol w:w="4526"/>
      </w:tblGrid>
      <w:tr>
        <w:trPr>
          <w:tblHeader/>
        </w:trPr>
        <w:tc>
          <w:tcPr>
            <w:tcW w:type="dxa" w:w="900"/>
            <w:tcBorders>
              <w:top w:val="single" w:color="999999" w:sz="4"/>
              <w:left w:val="single" w:color="999999" w:sz="4"/>
              <w:bottom w:val="single" w:color="999999" w:sz="4"/>
              <w:right w:val="single" w:color="999999" w:sz="4"/>
            </w:tcBorders>
            <w:shd w:fill="D9D9D9" w:color="auto" w:val="clear"/>
            <w:tcMar>
              <w:top w:type="dxa" w:w="80"/>
              <w:left w:type="dxa" w:w="120"/>
              <w:bottom w:type="dxa" w:w="80"/>
              <w:right w:type="dxa" w:w="120"/>
            </w:tcMar>
          </w:tcPr>
          <w:p>
            <w:r>
              <w:rPr>
                <w:b/>
                <w:bCs/>
                <w:sz w:val="20"/>
                <w:szCs w:val="20"/>
              </w:rPr>
              <w:t xml:space="preserve">Stufe</w:t>
            </w:r>
          </w:p>
        </w:tc>
        <w:tc>
          <w:tcPr>
            <w:tcW w:type="dxa" w:w="3600"/>
            <w:tcBorders>
              <w:top w:val="single" w:color="999999" w:sz="4"/>
              <w:left w:val="single" w:color="999999" w:sz="4"/>
              <w:bottom w:val="single" w:color="999999" w:sz="4"/>
              <w:right w:val="single" w:color="999999" w:sz="4"/>
            </w:tcBorders>
            <w:shd w:fill="D9D9D9" w:color="auto" w:val="clear"/>
            <w:tcMar>
              <w:top w:type="dxa" w:w="80"/>
              <w:left w:type="dxa" w:w="120"/>
              <w:bottom w:type="dxa" w:w="80"/>
              <w:right w:type="dxa" w:w="120"/>
            </w:tcMar>
          </w:tcPr>
          <w:p>
            <w:r>
              <w:rPr>
                <w:b/>
                <w:bCs/>
                <w:sz w:val="20"/>
                <w:szCs w:val="20"/>
              </w:rPr>
              <w:t xml:space="preserve">Evidenzniveau</w:t>
            </w:r>
          </w:p>
        </w:tc>
        <w:tc>
          <w:tcPr>
            <w:tcW w:type="dxa" w:w="4526"/>
            <w:tcBorders>
              <w:top w:val="single" w:color="999999" w:sz="4"/>
              <w:left w:val="single" w:color="999999" w:sz="4"/>
              <w:bottom w:val="single" w:color="999999" w:sz="4"/>
              <w:right w:val="single" w:color="999999" w:sz="4"/>
            </w:tcBorders>
            <w:shd w:fill="D9D9D9" w:color="auto" w:val="clear"/>
            <w:tcMar>
              <w:top w:type="dxa" w:w="80"/>
              <w:left w:type="dxa" w:w="120"/>
              <w:bottom w:type="dxa" w:w="80"/>
              <w:right w:type="dxa" w:w="120"/>
            </w:tcMar>
          </w:tcPr>
          <w:p>
            <w:r>
              <w:rPr>
                <w:b/>
                <w:bCs/>
                <w:sz w:val="20"/>
                <w:szCs w:val="20"/>
              </w:rPr>
              <w:t xml:space="preserve">Anwendung in diesem Bericht</w:t>
            </w:r>
          </w:p>
        </w:tc>
      </w:tr>
      <w:tr>
        <w:tc>
          <w:tcPr>
            <w:tcW w:type="dxa" w:w="900"/>
            <w:tcBorders>
              <w:top w:val="single" w:color="999999" w:sz="4"/>
              <w:left w:val="single" w:color="999999" w:sz="4"/>
              <w:bottom w:val="single" w:color="999999" w:sz="4"/>
              <w:right w:val="single" w:color="999999" w:sz="4"/>
            </w:tcBorders>
            <w:shd w:fill="2E7D32" w:color="auto" w:val="clear"/>
            <w:tcMar>
              <w:top w:type="dxa" w:w="80"/>
              <w:left w:type="dxa" w:w="120"/>
              <w:bottom w:type="dxa" w:w="80"/>
              <w:right w:type="dxa" w:w="120"/>
            </w:tcMar>
          </w:tcPr>
          <w:p>
            <w:pPr>
              <w:jc w:val="center"/>
            </w:pPr>
            <w:r>
              <w:rPr>
                <w:b/>
                <w:bCs/>
                <w:color w:val="FFFFFF"/>
                <w:sz w:val="22"/>
                <w:szCs w:val="22"/>
              </w:rPr>
              <w:t xml:space="preserve">A</w:t>
            </w:r>
          </w:p>
        </w:tc>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Veröffentlichte, kontrollierte Forschung (extern, peer-reviewed)</w:t>
            </w:r>
          </w:p>
        </w:tc>
        <w:tc>
          <w:tcPr>
            <w:tcW w:type="dxa" w:w="45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Nicht anwendbar auf Immutines™-spezifische Aussagen in diesem Bericht.</w:t>
            </w:r>
          </w:p>
        </w:tc>
      </w:tr>
      <w:tr>
        <w:tc>
          <w:tcPr>
            <w:tcW w:type="dxa" w:w="900"/>
            <w:tcBorders>
              <w:top w:val="single" w:color="999999" w:sz="4"/>
              <w:left w:val="single" w:color="999999" w:sz="4"/>
              <w:bottom w:val="single" w:color="999999" w:sz="4"/>
              <w:right w:val="single" w:color="999999" w:sz="4"/>
            </w:tcBorders>
            <w:shd w:fill="1565C0" w:color="auto" w:val="clear"/>
            <w:tcMar>
              <w:top w:type="dxa" w:w="80"/>
              <w:left w:type="dxa" w:w="120"/>
              <w:bottom w:type="dxa" w:w="80"/>
              <w:right w:type="dxa" w:w="120"/>
            </w:tcMar>
          </w:tcPr>
          <w:p>
            <w:pPr>
              <w:jc w:val="center"/>
            </w:pPr>
            <w:r>
              <w:rPr>
                <w:b/>
                <w:bCs/>
                <w:color w:val="FFFFFF"/>
                <w:sz w:val="22"/>
                <w:szCs w:val="22"/>
              </w:rPr>
              <w:t xml:space="preserve">B</w:t>
            </w:r>
          </w:p>
        </w:tc>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Mechanistische Plausibilität auf Grundlage veröffentlichter Hintergrundliteratur</w:t>
            </w:r>
          </w:p>
        </w:tc>
        <w:tc>
          <w:tcPr>
            <w:tcW w:type="dxa" w:w="45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Der zugrunde liegende Mechanismus (Mineralstoffinteraktion) ist andernorts beschrieben; die Anwendung auf Immutines™ selbst nicht.</w:t>
            </w:r>
          </w:p>
        </w:tc>
      </w:tr>
      <w:tr>
        <w:tc>
          <w:tcPr>
            <w:tcW w:type="dxa" w:w="900"/>
            <w:tcBorders>
              <w:top w:val="single" w:color="999999" w:sz="4"/>
              <w:left w:val="single" w:color="999999" w:sz="4"/>
              <w:bottom w:val="single" w:color="999999" w:sz="4"/>
              <w:right w:val="single" w:color="999999" w:sz="4"/>
            </w:tcBorders>
            <w:shd w:fill="EF8F00" w:color="auto" w:val="clear"/>
            <w:tcMar>
              <w:top w:type="dxa" w:w="80"/>
              <w:left w:type="dxa" w:w="120"/>
              <w:bottom w:type="dxa" w:w="80"/>
              <w:right w:type="dxa" w:w="120"/>
            </w:tcMar>
          </w:tcPr>
          <w:p>
            <w:pPr>
              <w:jc w:val="center"/>
            </w:pPr>
            <w:r>
              <w:rPr>
                <w:b/>
                <w:bCs/>
                <w:color w:val="FFFFFF"/>
                <w:sz w:val="22"/>
                <w:szCs w:val="22"/>
              </w:rPr>
              <w:t xml:space="preserve">C</w:t>
            </w:r>
          </w:p>
        </w:tc>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Wiederholte, unabhängige Praxisbeobachtung (mehrere Betriebe, langer Zeitraum)</w:t>
            </w:r>
          </w:p>
        </w:tc>
        <w:tc>
          <w:tcPr>
            <w:tcW w:type="dxa" w:w="45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Übereinstimmende Meldungen mehrerer Kunden über Jahre; keine Kontrollgruppe.</w:t>
            </w:r>
          </w:p>
        </w:tc>
      </w:tr>
      <w:tr>
        <w:tc>
          <w:tcPr>
            <w:tcW w:type="dxa" w:w="900"/>
            <w:tcBorders>
              <w:top w:val="single" w:color="999999" w:sz="4"/>
              <w:left w:val="single" w:color="999999" w:sz="4"/>
              <w:bottom w:val="single" w:color="999999" w:sz="4"/>
              <w:right w:val="single" w:color="999999" w:sz="4"/>
            </w:tcBorders>
            <w:shd w:fill="C62828" w:color="auto" w:val="clear"/>
            <w:tcMar>
              <w:top w:type="dxa" w:w="80"/>
              <w:left w:type="dxa" w:w="120"/>
              <w:bottom w:type="dxa" w:w="80"/>
              <w:right w:type="dxa" w:w="120"/>
            </w:tcMar>
          </w:tcPr>
          <w:p>
            <w:pPr>
              <w:jc w:val="center"/>
            </w:pPr>
            <w:r>
              <w:rPr>
                <w:b/>
                <w:bCs/>
                <w:color w:val="FFFFFF"/>
                <w:sz w:val="22"/>
                <w:szCs w:val="22"/>
              </w:rPr>
              <w:t xml:space="preserve">D</w:t>
            </w:r>
          </w:p>
        </w:tc>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Vereinzelte / anekdotische Meldung (ein oder wenige Betriebe)</w:t>
            </w:r>
          </w:p>
        </w:tc>
        <w:tc>
          <w:tcPr>
            <w:tcW w:type="dxa" w:w="45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Einzelne, neue oder einmalige Beobachtung, noch nicht wiederholt bestätigt.</w:t>
            </w:r>
          </w:p>
        </w:tc>
      </w:tr>
    </w:tbl>
    <w:p>
      <w:pPr>
        <w:pStyle w:val="Heading1"/>
      </w:pPr>
      <w:r>
        <w:t xml:space="preserve">3. Ergebnisse nach Themen</w:t>
      </w:r>
    </w:p>
    <w:p>
      <w:pPr>
        <w:pStyle w:val="Heading2"/>
      </w:pPr>
      <w:r>
        <w:t xml:space="preserve">3.1 Fruchtbarkeit und Brunst — </w:t>
      </w:r>
      <w:r>
        <w:rPr>
          <w:color w:val="EF8F00"/>
        </w:rPr>
        <w:t xml:space="preserve">Stufe C</w:t>
      </w:r>
    </w:p>
    <w:p>
      <w:pPr>
        <w:spacing w:after="140" w:line="276"/>
        <w:jc w:val="both"/>
      </w:pPr>
      <w:r>
        <w:t xml:space="preserve">Mehrere Kunden melden unabhängig voneinander und wiederholt über den untersuchten Zeitraum, dass Kühe nach der Anwendung von Immutines™ besser und deutlicher brünstig werden. Dies steht im Einklang mit der Rolle von Calcium, Magnesium und Phosphor in der Reproduktionsphysiologie (unter anderem im Hormonzyklus und im Energiehaushalt rund um die Brunst) sowie mit der Tatsache, dass Mineralstoffmängel eine anerkannte Ursache für schwache oder stille Brunst bei Milchvieh sind. Ein direkter, gemessener Zusammenhang zwischen der Anwendung von Immutines™ und der Brunsterkennung wurde nicht erfasst; die Meldungen sind qualitativer Natur.</w:t>
      </w:r>
    </w:p>
    <w:p>
      <w:pPr>
        <w:pStyle w:val="Heading2"/>
      </w:pPr>
      <w:r>
        <w:t xml:space="preserve">3.2 Gebärmutterrückbildung nach der Kalbung (Reinigung) — </w:t>
      </w:r>
      <w:r>
        <w:rPr>
          <w:color w:val="EF8F00"/>
        </w:rPr>
        <w:t xml:space="preserve">Stufe C</w:t>
      </w:r>
    </w:p>
    <w:p>
      <w:pPr>
        <w:spacing w:after="140" w:line="276"/>
        <w:jc w:val="both"/>
      </w:pPr>
      <w:r>
        <w:t xml:space="preserve">Eine wiederkehrende Meldung ist, dass Kühe sich nach der Kalbung besser und vollständiger „reinigen“ (Uterusinvolution und Abgang der Nachgeburt), mit der Folge, dass der Tierarzt seltener mit einer Kürettage eingreifen muss. Nachgeburtsverhaltung und verzögerte Uterusinvolution hängen in der tiermedizinischen Literatur mit dem Energie- und Mineralstoffstatus rund um die Kalbung zusammen, was die gemeldete Beobachtung mechanistisch plausibel macht. Eine erfasste Anzahl von Kürettagen vorher versus nachher liegt nicht vor; der Vergleich beruht auf dem subjektiven Eindruck von Landwirt und Tierarzt.</w:t>
      </w:r>
    </w:p>
    <w:p>
      <w:pPr>
        <w:pStyle w:val="Heading2"/>
      </w:pPr>
      <w:r>
        <w:t xml:space="preserve">3.3 Fell: Glanz und Farbschärfe — </w:t>
      </w:r>
      <w:r>
        <w:rPr>
          <w:color w:val="EF8F00"/>
        </w:rPr>
        <w:t xml:space="preserve">Stufe C</w:t>
      </w:r>
    </w:p>
    <w:p>
      <w:pPr>
        <w:spacing w:after="140" w:line="276"/>
        <w:jc w:val="both"/>
      </w:pPr>
      <w:r>
        <w:t xml:space="preserve">Kunden melden übereinstimmend einen verbesserten Fellglanz und eine schärfere, „reinere“ Farbwiedergabe des Haarkleids (Weiß ist sichtbar weißer, Schwarz sichtbar schwärzer). Die Haarqualität ist ein klassischer, weithin anerkannter visueller Indikator für den allgemeinen Mineralstoff- und Ernährungsstatus bei Wiederkäuern und wird in der Praxis oft als einfacher, nicht-invasiver Gradmesser verwendet. Die Beobachtung ist daher als allgemeiner Effekt einer verbesserten Mineralstoffversorgung mechanistisch plausibel, jedoch nicht spezifisch Immutines™ im Vergleich zu anderen Mineralfuttern zuzuschreiben.</w:t>
      </w:r>
    </w:p>
    <w:p>
      <w:pPr>
        <w:pStyle w:val="Heading2"/>
      </w:pPr>
      <w:r>
        <w:t xml:space="preserve">3.4 Klauenqualität — </w:t>
      </w:r>
      <w:r>
        <w:rPr>
          <w:color w:val="EF8F00"/>
        </w:rPr>
        <w:t xml:space="preserve">Stufe C</w:t>
      </w:r>
    </w:p>
    <w:p>
      <w:pPr>
        <w:spacing w:after="140" w:line="276"/>
        <w:jc w:val="both"/>
      </w:pPr>
      <w:r>
        <w:t xml:space="preserve">Klauenpfleger berichten mehreren Kunden, dass sich die Klauen nach der Anwendung von Immutines™ härter anfühlen und besser zu bearbeiten sind. Die Hornqualität hängt stark unter anderem von Zink, Biotin, Calcium und Phosphor ab; eine verbesserte Aufnahme von Makroelementen könnte plausibel dazu beitragen. Die Beobachtungen stammen von Dritten (Klauenpflegern), die nicht standardisiert bewertet haben (zum Beispiel mit einem Hornhärtemessgerät); es handelt sich um einen qualitativen Eindruck.</w:t>
      </w:r>
    </w:p>
    <w:p>
      <w:pPr>
        <w:pStyle w:val="Heading2"/>
      </w:pPr>
      <w:r>
        <w:t xml:space="preserve">3.5 Maisaufnahme nach dem Besprühen — </w:t>
      </w:r>
      <w:r>
        <w:rPr>
          <w:color w:val="C62828"/>
        </w:rPr>
        <w:t xml:space="preserve">Stufe D</w:t>
      </w:r>
    </w:p>
    <w:p>
      <w:pPr>
        <w:spacing w:after="140" w:line="276"/>
        <w:jc w:val="both"/>
      </w:pPr>
      <w:r>
        <w:t xml:space="preserve">Kürzlich meldete ein Kunde, dass die Kühe den Mais deutlich besser fraßen, wenn er mit Immutines™ übergossen wurde. Dies ist bislang eine einzelne, neue Beobachtung und ist als hypothesengenerierend zu betrachten, nicht als bestätigter Effekt. Denkbare, noch nicht untersuchte Erklärungen sind ein Geschmacks- oder Geruchseffekt der Mineralstoffzusammensetzung oder ein indirekter Effekt über eine verbesserte Allgemeinverfassung der Tiere.</w:t>
      </w:r>
    </w:p>
    <w:p>
      <w:pPr>
        <w:pStyle w:val="Heading2"/>
      </w:pPr>
      <w:r>
        <w:t xml:space="preserve">3.6 Buttersäureprotokoll: Clostridium butyricum, botulinum und perfringens — </w:t>
      </w:r>
      <w:r>
        <w:rPr>
          <w:color w:val="C62828"/>
        </w:rPr>
        <w:t xml:space="preserve">Stufe C/D</w:t>
      </w:r>
    </w:p>
    <w:p>
      <w:pPr>
        <w:spacing w:after="140" w:line="276"/>
        <w:jc w:val="both"/>
      </w:pPr>
      <w:r>
        <w:t xml:space="preserve">Bei festgestellten Buttersäureproblemen in der Ration wird die Dosierung auf 15 ml Immutines™ plus 200 Gramm Impactpoeder erhöht. Kunden melden, dass Probleme mit Clostridium butyricum damit in der Regel innerhalb von etwa einer Woche verschwunden sind (Stufe C: wiederholt gemeldet). Bei Clostridium botulinum und Clostridium perfringens ist die Wirkung wechselhaft („klappt meistens“), was auf einen weniger konsistenten und weniger gut erklärbaren Effekt hindeutet (Stufe D).</w:t>
      </w:r>
    </w:p>
    <w:p>
      <w:pPr>
        <w:spacing w:after="140" w:line="276"/>
        <w:jc w:val="both"/>
      </w:pPr>
      <w:r>
        <w:t xml:space="preserve">Buttersäure (Clostridien-Gärung) im Grundfutter, insbesondere bei zu nasser Silierung (&lt;30 % Trockenmasse) oder unzureichender Verdichtung, ist ein gut dokumentiertes Problem in der Rinderhaltung [7,8]. Botulismus durch Clostridium botulinum entsteht in der Regel, wenn eiweißreiches Material (zum Beispiel ein mitsilierter Tierkadaver) im Silo verrottet, und kann bei Wiederkäuern zu schweren, potenziell tödlichen Muskellähmungen führen [9]. Ein Buttersäuregehalt über etwa 0,5 % der Trockenmasse gilt in der Literatur als Risikoniveau für verminderte Futteraufnahme und Stoffwechselprobleme (einschließlich Ketose) [10].</w:t>
      </w:r>
    </w:p>
    <w:p>
      <w:pPr>
        <w:pBdr>
          <w:left w:val="single" w:color="C62828" w:sz="18" w:space="8"/>
        </w:pBdr>
        <w:shd w:fill="FDECEA" w:color="auto" w:val="clear"/>
        <w:spacing w:after="160" w:before="120"/>
        <w:jc w:val="both"/>
      </w:pPr>
      <w:r>
        <w:rPr>
          <w:b/>
          <w:bCs/>
        </w:rPr>
        <w:t xml:space="preserve">Botulismus und Clostridieninfektionen (insbesondere C. botulinum und C. perfringens Typ C/D) sind potenziell lebensbedrohlich und können sich sehr schnell entwickeln. Eine wechselhafte und nicht vollständig zuverlässige Wirkung („klappt meistens“) ist bei diesen Erkrankungen keine ausreichende Grundlage, um mit der Hinzuziehung eines Tierarztes zu warten. Siehe Kapitel 6.</w:t>
      </w:r>
    </w:p>
    <w:p>
      <w:pPr>
        <w:pStyle w:val="Heading2"/>
      </w:pPr>
      <w:r>
        <w:t xml:space="preserve">3.7 Kombination mit Milchsäurebakterien: Salmonellen — </w:t>
      </w:r>
      <w:r>
        <w:rPr>
          <w:color w:val="C62828"/>
        </w:rPr>
        <w:t xml:space="preserve">Stufe C/D</w:t>
      </w:r>
    </w:p>
    <w:p>
      <w:pPr>
        <w:spacing w:after="140" w:line="276"/>
        <w:jc w:val="both"/>
      </w:pPr>
      <w:r>
        <w:t xml:space="preserve">Eine Kombination von Immutines™/Impactpoeder mit Milchsäurebakterien wird von Kunden als wirksam bei der schnellen Lösung von Salmonellenproblemen im Bestand gemeldet. Der zugrunde liegende, plausible Mechanismus ist die kompetitive Exklusion: Milchsäurebakterien senken lokal den pH-Wert und konkurrieren um Nährstoffe und Anheftungsstellen im Magen-Darm-Trakt, was die Vermehrung pathogener Salmonellenstämme hemmen kann. Dies ist ein in der Probiotika-Literatur allgemein breit untersuchtes Prinzip; spezifische Forschung zu dieser Kombination mit Immutines™ fehlt. Salmonellose bei Milchvieh kann je nach Serotyp und Alter/Status des Tieres schwer verlaufen (Sepsis, Todesfälle, zoonotisches Risiko für Menschen auf dem Betrieb); Praxisbeobachtungen einer „schnellen Lösung“ ersetzen keine tierärztliche Diagnostik und Behandlung, schon gar nicht bei akuten oder schweren Ausbrüchen.</w:t>
      </w:r>
    </w:p>
    <w:p>
      <w:pPr>
        <w:pStyle w:val="Heading2"/>
      </w:pPr>
      <w:r>
        <w:t xml:space="preserve">3.8 Ergänzende Informationen: Kohlenstoff (Tonminerale) als zweite Säule und die breitere niederländische Mineralstoffproblematik — </w:t>
      </w:r>
      <w:r>
        <w:rPr>
          <w:color w:val="1565C0"/>
        </w:rPr>
        <w:t xml:space="preserve">Stufe B/C</w:t>
      </w:r>
    </w:p>
    <w:p>
      <w:pPr>
        <w:spacing w:after="140" w:line="276"/>
        <w:jc w:val="both"/>
      </w:pPr>
      <w:r>
        <w:t xml:space="preserve">Dieser Abschnitt erweitert das Bild von Kapitel 3: Koolstofkring BV löst festgestellte Mineralstoffprobleme bei Kunden nicht ausschließlich mit Immutines™, sondern auch mit Kohlenstoff (Tonmineralen). Tonminerale haben von Natur aus eine hohe Kationenaustauschkapazität (KAK) und werden in der Tierernährung bereits als Träger und Puffer für Mineralstoffe sowie als Bindemittel für unerwünschte Stoffe eingesetzt; dies macht eine Rolle als Mineralstoffträger mechanistisch plausibel. Wie bei Immutines™ selbst (siehe die Anmerkung in Kapitel 1) ist die spezifische Wirkung der Tonminerale in der von Koolstofkring BV angewandten Form nicht unabhängig untersucht, und es gelten dieselben Einschränkungen wie in Kapitel 2 beschrieben.</w:t>
      </w:r>
    </w:p>
    <w:p>
      <w:pPr>
        <w:spacing w:after="140" w:line="276"/>
        <w:jc w:val="both"/>
      </w:pPr>
      <w:r>
        <w:t xml:space="preserve">Viele Kunden der Koolstofkring BV nehmen an der Mineralstoffuntersuchung der Gezondheidsdienst voor Dieren (GD) teil. Dabei werden über Blut- oder Tankmilchuntersuchungen unter anderem Selen, Jod, Kupfer und Zink gemessen [11]. Auffällig ist, dass diese Betriebe nahezu nie Mängel bei den gemessenen Mineralstoffen aufweisen. Das gilt trotz einer relativ niedrigen Dosierung von 13 ml Immutines™ pro Tier als Futterzusatz. Auch diese Beobachtung ist mit denselben Vorbehalten zu lesen wie der Rest dieses Berichts: Es gibt keinen Vergleich mit einer Kontrollgruppe ohne Immutines™-Anwendung.</w:t>
      </w:r>
    </w:p>
    <w:p>
      <w:pPr>
        <w:spacing w:after="140" w:line="276"/>
        <w:jc w:val="both"/>
      </w:pPr>
      <w:r>
        <w:t xml:space="preserve">Dennoch gibt es Grund zur Sorge. Viele Landwirte stellen fest, dass die Mineralstoffversorgung über ihr eigenes Grundfutter sehr wohl unter Druck gerät, insbesondere bei Selen. Grundfutteranalysen zeigen zudem immer häufiger, dass das Makroelement Calcium und eine Reihe von Spurenelementen, insbesondere Kupfer und Kobalt, unterhalb der Norm vorhanden sind. Das gilt leider auch für Betriebe, die Kunden der Koolstofkring BV sind.</w:t>
      </w:r>
    </w:p>
    <w:p>
      <w:pPr>
        <w:spacing w:after="140" w:line="276"/>
        <w:jc w:val="both"/>
      </w:pPr>
      <w:r>
        <w:t xml:space="preserve">Beide Ergebnisse widersprechen sich nicht. Die GD-Untersuchung misst den Mineralstoffstatus des Tieres, einschließlich dessen, was über Ergänzungsfuttermittel zugeführt wird. Die Grundfutteranalyse misst, was die eigenen Flächen liefern. Ein gutes GD-Ergebnis bei unzureichendem Grundfutter bedeutet also, dass der Betrieb für seine Mineralstoffversorgung strukturell auf Ergänzung angewiesen ist.</w:t>
      </w:r>
    </w:p>
    <w:p>
      <w:pPr>
        <w:spacing w:after="140" w:line="276"/>
        <w:jc w:val="both"/>
      </w:pPr>
      <w:r>
        <w:t xml:space="preserve">Dieses Bild deckt sich mit den Erkenntnissen der GD selbst. Auf mehr als 25 Prozent der niederländischen Milchviehbetriebe zeigt die Tankmilchuntersuchung eine verminderte Versorgung mit einem oder mehreren Spurenelementen [12]. Niederländisches Grünland, insbesondere auf Sandböden, enthält von Natur aus wenig Selen und Kupfer [13]. Wenn das Vieh im Frühjahr auf die Weide kommt und weniger Kraftfutter erhält, sinkt der Selenstatus weiter. In den letzten Jahren wiesen im Mai etwa 15 Prozent der Tiere einen Selenmangel auf [13].</w:t>
      </w:r>
    </w:p>
    <w:p>
      <w:pPr>
        <w:pStyle w:val="Heading3"/>
      </w:pPr>
      <w:r>
        <w:t xml:space="preserve">3.8.1 Ursache: einseitige Düngung und Mineralstoffabfuhr über Milch, Fleisch und Wirtschaftsdünger</w:t>
      </w:r>
    </w:p>
    <w:p>
      <w:pPr>
        <w:spacing w:after="140" w:line="276"/>
        <w:jc w:val="both"/>
      </w:pPr>
      <w:r>
        <w:t xml:space="preserve">Die Ursache dieser Mängel liegt in erster Linie in der einseitigen Düngung. Auf einem Milchviehbetrieb werden stets Mineralstoffe über Milch und Fleisch abgeführt. Dieser Effekt wird deutlich verstärkt, weil Wirtschaftsdünger abgegeben werden muss. Neben Stickstoff und Phosphat verlassen auf diese Weise auch große Mengen an Spurenelementen den Betrieb, ohne über die Düngung ergänzt zu werden.</w:t>
      </w:r>
    </w:p>
    <w:p>
      <w:pPr>
        <w:spacing w:after="140" w:line="276"/>
        <w:jc w:val="both"/>
      </w:pPr>
      <w:r>
        <w:t xml:space="preserve">Dieser Mechanismus ist auch extern dokumentiert. Seit Einführung der strengeren Düngegesetzgebung (des Mineralstoff-Bilanzierungssystems Minas, ab 1996) wird deutlich weniger Wirtschaftsdünger auf Grünland und Ackerland ausgebracht. Dadurch nehmen insbesondere die Spurenelemente Zink, Eisen und Kupfer im Boden ab [14]. Für viele Betriebe ist eine ergänzende Düngung oder Fütterung von Spurenelementen daher notwendig geworden, um Produktions- und Gesundheitsprobleme zu vermeiden. Die Mineralstoffgehalte in Grassilagen sind seit Einführung dieser Regelung strukturell zurückgegangen [14].</w:t>
      </w:r>
    </w:p>
    <w:p>
      <w:pPr>
        <w:pStyle w:val="Heading3"/>
      </w:pPr>
      <w:r>
        <w:t xml:space="preserve">3.8.2 Wissensproblem: Interaktion und Wirksamkeit von Mineralstoffformen</w:t>
      </w:r>
    </w:p>
    <w:p>
      <w:pPr>
        <w:spacing w:after="140" w:line="276"/>
        <w:jc w:val="both"/>
      </w:pPr>
      <w:r>
        <w:t xml:space="preserve">Ein zweites, wenig beachtetes Problem ist, dass in der Praxis sehr wenig Wissen über die Interaktion zwischen den verschiedenen Mineralstoffen besteht. Dasselbe gilt für die Wirksamkeit der Form, in der ein Mineralstoff angeboten wird.</w:t>
      </w:r>
    </w:p>
    <w:p>
      <w:pPr>
        <w:spacing w:after="140" w:line="276"/>
        <w:jc w:val="both"/>
      </w:pPr>
      <w:r>
        <w:t xml:space="preserve">Magnesiumoxid (MgO) ist eine günstige Magnesiumquelle, doch insbesondere bei einem hohen Kaliumgehalt in der Ration ist die Verfügbarkeit begrenzt. Nach der Praxiserfahrung der Koolstofkring BV ist Magnesiumoxid dann höchstens zu etwa 10 Prozent wirksam. Das ist sehr niedrig im Vergleich zu Magnesiumchlorid oder Magnesiumcitrat.</w:t>
      </w:r>
    </w:p>
    <w:p>
      <w:pPr>
        <w:spacing w:after="140" w:line="276"/>
        <w:jc w:val="both"/>
      </w:pPr>
      <w:r>
        <w:t xml:space="preserve">Dies steht im Einklang mit der breiteren Literatur. Der durchschnittliche Absorptionskoeffizient von Magnesium bei Milchvieh wird auf etwa 16 bis 17 Prozent geschätzt. Kalium hemmt die Magnesiumaufnahme bereits bei Kaliumgehalten von 1 bis 3 Prozent der Trockenmasse, ein Niveau, das in üblichen Rationen und Weidesituationen regelmäßig überschritten wird [15,16]. Ein Wert um 10 Prozent bei hohem Kaliumgehalt liegt also im Rahmen der Erwartungen. Zudem ist die Qualität von handelsüblichem Magnesiumoxid unterschiedlich, was die tatsächliche Verfügbarkeit weiter beeinflusst [15].</w:t>
      </w:r>
    </w:p>
    <w:p>
      <w:pPr>
        <w:spacing w:after="140" w:line="276"/>
        <w:jc w:val="both"/>
      </w:pPr>
      <w:r>
        <w:t xml:space="preserve">Ein zusätzliches Problem ist, dass besser verfügbare, organisch gebundene Mineralstoffe (Chelate, Hydroxyverbindungen) oft deutlich teurer sind als die klassischen anorganischen, chemischen Verbindungen wie Sulfate und Oxide. Dies erzeugt ein Spannungsfeld zwischen Kostenpreis und tatsächlicher Wirksamkeit. Eine günstige Mischung kann auf dem Papier den Bedarf vollständig decken, während die tatsächliche Aufnahme durch ungünstige Interaktionen und eine minderwertige Mineralstoffform stark zurückbleibt.</w:t>
      </w:r>
    </w:p>
    <w:p>
      <w:pPr>
        <w:spacing w:after="140" w:line="276"/>
        <w:jc w:val="both"/>
      </w:pPr>
      <w:r>
        <w:t xml:space="preserve">Dieser Abschnitt belegt mit externen Quellen, warum die von Koolstofkring BV vorgeschlagene Arbeitshypothese — dass Form und Kombination von Mineralstoffen die Aufnahme maßgeblich bestimmen (siehe Abschnitt 5.1) — ein reales und weithin anerkanntes landwirtschaftliches Problem berührt. Dies bestätigt jedoch nicht, dass Immutines™ oder die Kohlenstoff/Tonminerale der Koolstofkring BV dieses Problem tatsächlich lösen; es bestätigt lediglich, dass das Problem, das sie zu lösen beanspruchen, tatsächlich existiert und für die niederländische Milchviehhaltung relevant ist.</w:t>
      </w:r>
    </w:p>
    <w:p>
      <w:pPr>
        <w:pStyle w:val="Heading1"/>
      </w:pPr>
      <w:r>
        <w:t xml:space="preserve">4. Der Kontakt mit Dr. Ir. Jan Dijkstra (Wageningen University &amp; Research)</w:t>
      </w:r>
    </w:p>
    <w:p>
      <w:pPr>
        <w:spacing w:after="140" w:line="276"/>
        <w:jc w:val="both"/>
      </w:pPr>
      <w:r>
        <w:t xml:space="preserve">Aufgrund der sich häufenden Praxismeldungen wurde Kontakt mit Jan Dijkstra aufgenommen, Professor/Forscher für Tierernährung an der Wageningen University &amp; Research, mit der Frage, ob er angeben könne, welches der etwa 89 in Immutines™ enthaltenen Elemente für die beobachteten Effekte am ausschlaggebendsten sei. Dijkstra gab an, dies nicht aus dem Stegreif beantworten zu können, zeigte jedoch echtes Interesse daran, dies strukturiert untersuchen zu lassen. Die von ihm (oder seinem Institut) geschätzten Kosten für eine solche Studie beliefen sich auf etwa 250.000 €.</w:t>
      </w:r>
    </w:p>
    <w:p>
      <w:pPr>
        <w:spacing w:after="140" w:line="276"/>
        <w:jc w:val="both"/>
      </w:pPr>
      <w:r>
        <w:t xml:space="preserve">Koolstofkring BV hat sich trotz solider Unternehmensführung entschieden, diese Studie nicht durchführen zu lassen. Die wichtigste Überlegung war, dass sich eine Investition dieser Größenordnung angesichts des derzeitigen Umfangs dieser Produktlinie nicht innerhalb eines angemessenen Zeitraums über den Verkauf von Immutines™ amortisieren ließe. Dijkstra wurde für seine Mühe gedankt, und das Vorhaben wurde nicht weiterverfolgt.</w:t>
      </w:r>
    </w:p>
    <w:p>
      <w:pPr>
        <w:spacing w:after="140" w:line="276"/>
        <w:jc w:val="both"/>
      </w:pPr>
      <w:r>
        <w:t xml:space="preserve">Diese Episode ist für den Leser dieses Berichts aus zwei Gründen relevant: (1) Sie bestätigt, dass ein unabhängiger Experte die Frage, welches Element (oder welche Kombination) für die Effekte verantwortlich ist, auf Grundlage der aktuellen Daten ernsthaft und aufrichtig als unbeantwortet ansah — es gibt also keinen bestätigten Wirkmechanismus; und (2) sie vermittelt ein realistisches Bild der Investitionsschwelle, die einer vollständigen wissenschaftlichen Validierung im Wege steht, und erklärt, warum sich dieser Bericht auf eine Beobachtungsebene beschränkt.</w:t>
      </w:r>
    </w:p>
    <w:p>
      <w:pPr>
        <w:pStyle w:val="Heading1"/>
      </w:pPr>
      <w:r>
        <w:t xml:space="preserve">5. Diskussion: Plausibilität, Einschränkungen und Selektionsverzerrung</w:t>
      </w:r>
    </w:p>
    <w:p>
      <w:pPr>
        <w:pStyle w:val="Heading2"/>
      </w:pPr>
      <w:r>
        <w:t xml:space="preserve">5.1 Mechanistische Plausibilität</w:t>
      </w:r>
    </w:p>
    <w:p>
      <w:pPr>
        <w:spacing w:after="140" w:line="276"/>
        <w:jc w:val="both"/>
      </w:pPr>
      <w:r>
        <w:t xml:space="preserve">Die Grundidee — dass Mikroelemente die Aufnahme von Makroelementen beeinflussen — ist nicht neu und in der Literatur zur Rinderernährung weithin anerkannt. Bekannte Beispiele sind die hemmende Wirkung eines Kaliumüberschusses auf die Magnesiumaufnahme, die Rolle von Vitamin D bei der Calciumaufnahme und der starke Einfluss der chemischen Form von Spurenelementen (anorganisch versus organisch/hydroxy-gebunden) auf ihre letztendliche Bioverfügbarkeit im Dünndarm.</w:t>
      </w:r>
    </w:p>
    <w:p>
      <w:pPr>
        <w:spacing w:after="140" w:line="276"/>
        <w:jc w:val="both"/>
      </w:pPr>
      <w:r>
        <w:t xml:space="preserve">So ist dokumentiert, dass übermäßiges Kalium in der Ration die Magnesiumaufnahme hemmt, was ein wichtiger Grund dafür ist, dass bei Milchvieh relativ schnell Magnesiummängel entstehen können [2]. Auch die Calciumaufnahme wird von anderen Mineralstoffen beeinflusst: Ein Phosphorüberschuss senkt die Calciumaufnahme, während hohe Calciumgehalte ihrerseits die Aufnahme von Magnesium, Zink, Kupfer und Kobalt verringern können [1]. Für Spurenelemente selbst wurde gezeigt, dass der Quellentyp (zum Beispiel hydroxy- oder aminosäuregebundene Formen) die Bioverfügbarkeit im Dünndarm im Vergleich zu klassischen anorganischen Sulfatformen stark verbessern kann [3].</w:t>
      </w:r>
    </w:p>
    <w:p>
      <w:pPr>
        <w:spacing w:after="140" w:line="276"/>
        <w:jc w:val="both"/>
      </w:pPr>
      <w:r>
        <w:t xml:space="preserve">Diese Hintergrundliteratur macht es plausibel, dass ein breites Mineralstoffkonzentrat wie Immutines™ mit einer großen Zahl an Mikroelementen neben den Makroelementen über solche Interaktionen die Aufnahme von Mg, K, Ca und P beeinflussen kann. Dies ist jedoch eine allgemeine, indirekte Stütze des Prinzips — kein spezifischer Nachweis, dass Immutines™ dies tut, in welchem Umfang oder welches der 89 Elemente dafür verantwortlich ist. Genau diese Frage wurde auch Jan Dijkstra gestellt und blieb unbeantwortet (Kapitel 4).</w:t>
      </w:r>
    </w:p>
    <w:p>
      <w:pPr>
        <w:pStyle w:val="Heading2"/>
      </w:pPr>
      <w:r>
        <w:t xml:space="preserve">5.2 Selektionsverzerrung als dominierende alternative Erklärung</w:t>
      </w:r>
    </w:p>
    <w:p>
      <w:pPr>
        <w:spacing w:after="140" w:line="276"/>
        <w:jc w:val="both"/>
      </w:pPr>
      <w:r>
        <w:t xml:space="preserve">Wie in Kapitel 2 erläutert, stammen alle zugrunde liegenden Beobachtungen von Betrieben, die sich mit einem Problem meldeten. Dies hat drei wichtige Konsequenzen für die Interpretation:</w:t>
      </w:r>
    </w:p>
    <w:p>
      <w:pPr>
        <w:pStyle w:val="ListParagraph"/>
        <w:numPr>
          <w:ilvl w:val="0"/>
          <w:numId w:val="2"/>
        </w:numPr>
        <w:spacing w:after="80" w:line="276"/>
        <w:jc w:val="both"/>
      </w:pPr>
      <w:r>
        <w:rPr>
          <w:b/>
          <w:bCs/>
        </w:rPr>
        <w:t xml:space="preserve">Regression zur Mitte: </w:t>
      </w:r>
      <w:r>
        <w:t xml:space="preserve">Ein Betrieb mit einem akuten Problem (zum Beispiel hohe Buttersäurewerte oder viele stille Brunsten) hat eine größere Chance auf spontane Verbesserung, einfach weil die Ausgangssituation extrem war.</w:t>
      </w:r>
    </w:p>
    <w:p>
      <w:pPr>
        <w:pStyle w:val="ListParagraph"/>
        <w:numPr>
          <w:ilvl w:val="0"/>
          <w:numId w:val="2"/>
        </w:numPr>
        <w:spacing w:after="80" w:line="276"/>
        <w:jc w:val="both"/>
      </w:pPr>
      <w:r>
        <w:rPr>
          <w:b/>
          <w:bCs/>
        </w:rPr>
        <w:t xml:space="preserve">Bestätigungsfehler: </w:t>
      </w:r>
      <w:r>
        <w:t xml:space="preserve">Landwirte und Klauenpfleger, die wissen, dass ein Produkt verabreicht wurde, neigen eher dazu, eine Verbesserung wahrzunehmen und zu melden als eine Verschlechterung oder keinen Effekt (Publikationsverzerrung zugunsten positiver Geschichten).</w:t>
      </w:r>
    </w:p>
    <w:p>
      <w:pPr>
        <w:pStyle w:val="ListParagraph"/>
        <w:numPr>
          <w:ilvl w:val="0"/>
          <w:numId w:val="2"/>
        </w:numPr>
        <w:spacing w:after="80" w:line="276"/>
        <w:jc w:val="both"/>
      </w:pPr>
      <w:r>
        <w:rPr>
          <w:b/>
          <w:bCs/>
        </w:rPr>
        <w:t xml:space="preserve">Ko-Intervention: </w:t>
      </w:r>
      <w:r>
        <w:t xml:space="preserve">Bei einem gemeldeten Problem wird oft nicht ausschließlich Immutines™ eingesetzt, sondern auch eine Rationsanpassung, zusätzliche tierärztliche Betreuung oder andere Managementmaßnahmen, sodass der Effekt nicht isoliert werden kann.</w:t>
      </w:r>
    </w:p>
    <w:p>
      <w:pPr>
        <w:spacing w:after="140" w:before="120" w:line="276"/>
        <w:jc w:val="both"/>
      </w:pPr>
      <w:r>
        <w:t xml:space="preserve">Diese Faktoren bedeuten nicht, dass die beobachteten Effekte nicht existieren, wohl aber, dass die aktuellen Daten nicht erlauben festzustellen, wie viel des beobachteten Effekts Immutines™ selbst zuzuschreiben ist.</w:t>
      </w:r>
    </w:p>
    <w:p>
      <w:pPr>
        <w:pStyle w:val="Heading2"/>
      </w:pPr>
      <w:r>
        <w:t xml:space="preserve">5.3 Was die Wiederholung der Beobachtungen wert ist</w:t>
      </w:r>
    </w:p>
    <w:p>
      <w:pPr>
        <w:spacing w:after="140" w:line="276"/>
        <w:jc w:val="both"/>
      </w:pPr>
      <w:r>
        <w:t xml:space="preserve">Trotz der genannten Einschränkungen ist es nicht trivial, dass sich vergleichbare Meldungen — insbesondere zu Brunst, Reinigung, Fell und Klauenqualität — über zwanzig Jahre und bei unterschiedlichen, untereinander nicht verbundenen Betrieben wiederholen. Die Konsistenz des Signals über die Zeit und über unabhängige Beobachter hinweg ist genau die Art von Information, die zur Priorisierung von Hypothesen für weitere Forschung genutzt wird, auch wenn sie für sich genommen nichts beweist.</w:t>
      </w:r>
    </w:p>
    <w:p>
      <w:pPr>
        <w:pStyle w:val="Heading1"/>
      </w:pPr>
      <w:r>
        <w:t xml:space="preserve">6. Haftungsausschluss und verantwortungsvolle Anwendung</w:t>
      </w:r>
    </w:p>
    <w:p>
      <w:pPr>
        <w:spacing w:after="140" w:line="276"/>
        <w:jc w:val="both"/>
      </w:pPr>
      <w:r>
        <w:t xml:space="preserve">Dieser Bericht ist kein Ersatz für tierärztliche Diagnostik und Behandlung. Bei Verdacht auf Botulismus (Clostridium botulinum), eine Clostridium-perfringens-Infektion oder Salmonellenausbrüche ist stets ein Tierarzt hinzuzuziehen, insbesondere bei akuten klinischen Symptomen (Lähmung, Apathie, Fieber, Todesfälle). Die in diesem Bericht beschriebenen Protokolle beruhen auf Praxiserfahrung mit wechselndem und nicht garantiertem Erfolg und dürfen nicht als Grund verwendet werden, reguläre Diagnostik oder Behandlung aufzuschieben.</w:t>
      </w:r>
    </w:p>
    <w:p>
      <w:pPr>
        <w:spacing w:after="140" w:line="276"/>
        <w:jc w:val="both"/>
      </w:pPr>
      <w:r>
        <w:t xml:space="preserve">Immutines™ und Impactpoeder werden in diesem Bericht als unterstützende, auf Praxiserfahrung beruhende Maßnahmen im Rahmen eines umfassenderen Rations- und Gesundheitsmanagements beschrieben, nicht als erwiesenes Arzneimittel oder als Ersatz für tierärztliche Versorgung.</w:t>
      </w:r>
    </w:p>
    <w:p>
      <w:pPr>
        <w:pStyle w:val="Heading1"/>
      </w:pPr>
      <w:r>
        <w:t xml:space="preserve">7. Empfehlungen für weiterführende Forschung</w:t>
      </w:r>
    </w:p>
    <w:p>
      <w:pPr>
        <w:spacing w:after="140" w:line="276"/>
        <w:jc w:val="both"/>
      </w:pPr>
      <w:r>
        <w:t xml:space="preserve">Um die hier beschriebenen Beobachtungen auf bezahlbare Weise weiter zu prüfen, ohne sofort den vollen (250.000 €) Forschungsumfang umzusetzen, den die Wageningen University &amp; Research skizziert hat, können folgende Schritte erwogen werden:</w:t>
      </w:r>
    </w:p>
    <w:p>
      <w:pPr>
        <w:pStyle w:val="ListParagraph"/>
        <w:numPr>
          <w:ilvl w:val="0"/>
          <w:numId w:val="2"/>
        </w:numPr>
        <w:spacing w:after="80" w:line="276"/>
        <w:jc w:val="both"/>
      </w:pPr>
      <w:r>
        <w:rPr>
          <w:b/>
          <w:bCs/>
        </w:rPr>
        <w:t xml:space="preserve">Strukturierte, prospektive Datenerhebung: </w:t>
      </w:r>
      <w:r>
        <w:t xml:space="preserve">ab sofort in jedem teilnehmenden Betrieb vorab Ausgangswerte (Brunstscore, Buttersäuregehalt, Klauenhornhärte) vor Beginn der Immutines™-Anwendung erfassen, statt ausschließlich nachträglich berichtete Eindrücke zu nutzen.</w:t>
      </w:r>
    </w:p>
    <w:p>
      <w:pPr>
        <w:pStyle w:val="ListParagraph"/>
        <w:numPr>
          <w:ilvl w:val="0"/>
          <w:numId w:val="2"/>
        </w:numPr>
        <w:spacing w:after="80" w:line="276"/>
        <w:jc w:val="both"/>
      </w:pPr>
      <w:r>
        <w:rPr>
          <w:b/>
          <w:bCs/>
        </w:rPr>
        <w:t xml:space="preserve">Interner Kontrollvergleich: </w:t>
      </w:r>
      <w:r>
        <w:t xml:space="preserve">in Betrieben mit mehreren vergleichbaren Gruppen eine Gruppe behandeln und eine Gruppe (vorübergehend) nicht, um zumindest einen begrenzten, betriebsinternen Vergleich zu schaffen.</w:t>
      </w:r>
    </w:p>
    <w:p>
      <w:pPr>
        <w:pStyle w:val="ListParagraph"/>
        <w:numPr>
          <w:ilvl w:val="0"/>
          <w:numId w:val="2"/>
        </w:numPr>
        <w:spacing w:after="80" w:line="276"/>
        <w:jc w:val="both"/>
      </w:pPr>
      <w:r>
        <w:rPr>
          <w:b/>
          <w:bCs/>
        </w:rPr>
        <w:t xml:space="preserve">Gestufte, kleinskalige Pilotstudie: </w:t>
      </w:r>
      <w:r>
        <w:t xml:space="preserve">in Zusammenarbeit mit einer Fachhochschule (zum Beispiel Aeres oder Van Hall Larenstein) oder einer örtlichen Tierarztpraxis, zu erheblich geringeren Kosten als eine vollständige WUR-Studie, ausgerichtet auf einen konkreten Endpunkt (zum Beispiel Buttersäurereduktion oder Klauenhornhärte) mit einer begrenzten Anzahl von Betrieben.</w:t>
      </w:r>
    </w:p>
    <w:p>
      <w:pPr>
        <w:pStyle w:val="ListParagraph"/>
        <w:numPr>
          <w:ilvl w:val="0"/>
          <w:numId w:val="2"/>
        </w:numPr>
        <w:spacing w:after="80" w:line="276"/>
        <w:jc w:val="both"/>
      </w:pPr>
      <w:r>
        <w:rPr>
          <w:b/>
          <w:bCs/>
        </w:rPr>
        <w:t xml:space="preserve">Priorisierung auf Grundlage dieses Berichts: </w:t>
      </w:r>
      <w:r>
        <w:t xml:space="preserve">Angesichts der Konsistenz der Meldungen sind Buttersäurereduktion und Klauenhornqualität als erste prüfbare Endpunkte vorzuziehen, da sie objektiv und relativ kostengünstig messbar sind (VFA-Analyse, Hornhärtemessung).</w:t>
      </w:r>
    </w:p>
    <w:p>
      <w:pPr>
        <w:pStyle w:val="ListParagraph"/>
        <w:numPr>
          <w:ilvl w:val="0"/>
          <w:numId w:val="2"/>
        </w:numPr>
        <w:spacing w:after="80" w:line="276"/>
        <w:jc w:val="both"/>
      </w:pPr>
      <w:r>
        <w:rPr>
          <w:b/>
          <w:bCs/>
        </w:rPr>
        <w:t xml:space="preserve">Neubewertung des Gesprächs mit Jan Dijkstra: </w:t>
      </w:r>
      <w:r>
        <w:t xml:space="preserve">Eine deutlich enger gefasste Forschungsfrage (zum Beispiel nur Buttersäure statt aller 89 Elemente) könnte möglicherweise zu einem Bruchteil der zuvor genannten Kosten untersucht werden.</w:t>
      </w:r>
    </w:p>
    <w:p>
      <w:pPr>
        <w:pStyle w:val="Heading1"/>
      </w:pPr>
      <w:r>
        <w:t xml:space="preserve">8. Literatur</w:t>
      </w:r>
    </w:p>
    <w:p>
      <w:pPr>
        <w:pStyle w:val="ListParagraph"/>
        <w:numPr>
          <w:ilvl w:val="0"/>
          <w:numId w:val="3"/>
        </w:numPr>
        <w:spacing w:after="80"/>
      </w:pPr>
      <w:r>
        <w:rPr>
          <w:sz w:val="19"/>
          <w:szCs w:val="19"/>
        </w:rPr>
        <w:t xml:space="preserve">Farm Advisory Service Scotland. Cattle mineral supplementation. FAS.scot [internet]. Verfügbar unter: https://www.fas.scot/article/cattle-mineral-supplementation/</w:t>
      </w:r>
    </w:p>
    <w:p>
      <w:pPr>
        <w:pStyle w:val="ListParagraph"/>
        <w:numPr>
          <w:ilvl w:val="0"/>
          <w:numId w:val="3"/>
        </w:numPr>
        <w:spacing w:after="80"/>
      </w:pPr>
      <w:r>
        <w:rPr>
          <w:sz w:val="19"/>
          <w:szCs w:val="19"/>
        </w:rPr>
        <w:t xml:space="preserve">Ohio State University Extension. Should you consider reducing mineral supplementation in periods of low milk prices? Buckeye Dairy News, Vol. 22, Issue 3. Verfügbar unter: https://dairy.osu.edu/newsletter/buckeye-dairy-news/volume-22-issue-3/should-you-consider-reducing-mineral-supplementation</w:t>
      </w:r>
    </w:p>
    <w:p>
      <w:pPr>
        <w:pStyle w:val="ListParagraph"/>
        <w:numPr>
          <w:ilvl w:val="0"/>
          <w:numId w:val="3"/>
        </w:numPr>
        <w:spacing w:after="80"/>
      </w:pPr>
      <w:r>
        <w:rPr>
          <w:sz w:val="19"/>
          <w:szCs w:val="19"/>
        </w:rPr>
        <w:t xml:space="preserve">Beef Magazine. 5 things to consider when looking at mineral supplementation. Verfügbar unter: https://www.beefmagazine.com/nutrition/5-things-consider-when-looking-mineral-supplementation (mit Verweis auf Spears JW, et al. 2004, zur Bioverfügbarkeit von Hydroxy-Spurenelementen).</w:t>
      </w:r>
    </w:p>
    <w:p>
      <w:pPr>
        <w:pStyle w:val="ListParagraph"/>
        <w:numPr>
          <w:ilvl w:val="0"/>
          <w:numId w:val="3"/>
        </w:numPr>
        <w:spacing w:after="80"/>
      </w:pPr>
      <w:r>
        <w:rPr>
          <w:sz w:val="19"/>
          <w:szCs w:val="19"/>
        </w:rPr>
        <w:t xml:space="preserve">Diallo BT. Mineral metabolism and health status of dairy cattle fed adjusted mineral supplementation. Präsentation, Animine/INRAE, EAAP 2024. Verfügbar unter: https://docs.eaap.org/2024/m221/S49T01.pdf</w:t>
      </w:r>
    </w:p>
    <w:p>
      <w:pPr>
        <w:pStyle w:val="ListParagraph"/>
        <w:numPr>
          <w:ilvl w:val="0"/>
          <w:numId w:val="3"/>
        </w:numPr>
        <w:spacing w:after="80"/>
      </w:pPr>
      <w:r>
        <w:rPr>
          <w:sz w:val="19"/>
          <w:szCs w:val="19"/>
        </w:rPr>
        <w:t xml:space="preserve">The Cattle Site. Mineral interactions and supplementation for beef cows. Ohio State University Extension Beef Team. Verfügbar unter: https://www.thecattlesite.com/articles/1787/mineral-interactions-and-supplementation-for-beef-cows</w:t>
      </w:r>
    </w:p>
    <w:p>
      <w:pPr>
        <w:pStyle w:val="ListParagraph"/>
        <w:numPr>
          <w:ilvl w:val="0"/>
          <w:numId w:val="3"/>
        </w:numPr>
        <w:spacing w:after="80"/>
      </w:pPr>
      <w:r>
        <w:rPr>
          <w:sz w:val="19"/>
          <w:szCs w:val="19"/>
        </w:rPr>
        <w:t xml:space="preserve">Virginia Tech Cooperative Extension. Trace mineral supplementation is often times confusing. Engormix, 2008. Verfügbar unter: https://en.engormix.com/MA-dairy-cattle/news/trace-mineral-supplementation-often-t12396/p0.htm</w:t>
      </w:r>
    </w:p>
    <w:p>
      <w:pPr>
        <w:pStyle w:val="ListParagraph"/>
        <w:numPr>
          <w:ilvl w:val="0"/>
          <w:numId w:val="3"/>
        </w:numPr>
        <w:spacing w:after="80"/>
      </w:pPr>
      <w:r>
        <w:rPr>
          <w:sz w:val="19"/>
          <w:szCs w:val="19"/>
        </w:rPr>
        <w:t xml:space="preserve">Hoard's Dairyman. Forages fit for fresh cows. Verfügbar unter: https://hoards.com/article-24873-Forages-fit-for-fresh-cows.html</w:t>
      </w:r>
    </w:p>
    <w:p>
      <w:pPr>
        <w:pStyle w:val="ListParagraph"/>
        <w:numPr>
          <w:ilvl w:val="0"/>
          <w:numId w:val="3"/>
        </w:numPr>
        <w:spacing w:after="80"/>
      </w:pPr>
      <w:r>
        <w:rPr>
          <w:sz w:val="19"/>
          <w:szCs w:val="19"/>
        </w:rPr>
        <w:t xml:space="preserve">Vita Plus (Windle M). Avoid the stink: clostridia and butyric fermentation in silage. Verfügbar unter: https://www.vitaplus.com/?p=2029</w:t>
      </w:r>
    </w:p>
    <w:p>
      <w:pPr>
        <w:pStyle w:val="ListParagraph"/>
        <w:numPr>
          <w:ilvl w:val="0"/>
          <w:numId w:val="3"/>
        </w:numPr>
        <w:spacing w:after="80"/>
      </w:pPr>
      <w:r>
        <w:rPr>
          <w:sz w:val="19"/>
          <w:szCs w:val="19"/>
        </w:rPr>
        <w:t xml:space="preserve">University of Vermont Extension (Machia A, Darby H). Clostridial contamination in forage — botulism, blackleg and related risks. Dec 2023. Verfügbar unter: https://www.uvm.edu/d10-files/documents/2024-06/Clostridial_Contamination_Dec2023.pdf</w:t>
      </w:r>
    </w:p>
    <w:p>
      <w:pPr>
        <w:pStyle w:val="ListParagraph"/>
        <w:numPr>
          <w:ilvl w:val="0"/>
          <w:numId w:val="3"/>
        </w:numPr>
        <w:spacing w:after="80"/>
      </w:pPr>
      <w:r>
        <w:rPr>
          <w:sz w:val="19"/>
          <w:szCs w:val="19"/>
        </w:rPr>
        <w:t xml:space="preserve">Lallemand Animal Nutrition (Magniva). Clostridial fermentation: causes, risks and management in silage. Verfügbar unter: https://magniva.lallemandanimalnutrition.com/en/usa/make-quality-silage/avoid-pitfalls/clostridial-fermentation/</w:t>
      </w:r>
    </w:p>
    <w:p>
      <w:pPr>
        <w:pStyle w:val="ListParagraph"/>
        <w:numPr>
          <w:ilvl w:val="0"/>
          <w:numId w:val="3"/>
        </w:numPr>
        <w:spacing w:after="80"/>
      </w:pPr>
      <w:r>
        <w:rPr>
          <w:sz w:val="19"/>
          <w:szCs w:val="19"/>
        </w:rPr>
        <w:t xml:space="preserve">Jacobsen S. Vier mineralen meten in één bloedmonster [Vier Mineralstoffe in einer Blutprobe messen]. Melkvee.nl / Gezondheidsdienst voor Dieren (GD). Verfügbar unter: https://melkvee.nl/artikel/57594-vier-mineralen-meten-in-een-bloedmonster</w:t>
      </w:r>
    </w:p>
    <w:p>
      <w:pPr>
        <w:pStyle w:val="ListParagraph"/>
        <w:numPr>
          <w:ilvl w:val="0"/>
          <w:numId w:val="3"/>
        </w:numPr>
        <w:spacing w:after="80"/>
      </w:pPr>
      <w:r>
        <w:rPr>
          <w:sz w:val="19"/>
          <w:szCs w:val="19"/>
        </w:rPr>
        <w:t xml:space="preserve">Veling J, Muskens J (Gezondheidsdienst voor Dieren). GD-masterclass 'Minder of meer mineralen voeren' [Weniger oder mehr Mineralstoffe füttern]: verminderte Spurenelementversorgung auf mehr als 25 % der Milchviehbetriebe anhand von Tankmilchuntersuchungen. Wageningen University &amp; Research. Verfügbar unter: https://edepot.wur.nl/331991</w:t>
      </w:r>
    </w:p>
    <w:p>
      <w:pPr>
        <w:pStyle w:val="ListParagraph"/>
        <w:numPr>
          <w:ilvl w:val="0"/>
          <w:numId w:val="3"/>
        </w:numPr>
        <w:spacing w:after="80"/>
      </w:pPr>
      <w:r>
        <w:rPr>
          <w:sz w:val="19"/>
          <w:szCs w:val="19"/>
        </w:rPr>
        <w:t xml:space="preserve">Wageningen University &amp; Research. Selenstatus von Rindern beim Weideaustrieb; Selenmangel bei etwa 15 % der Tiere im Mai. Verfügbar unter: https://edepot.wur.nl/168536</w:t>
      </w:r>
    </w:p>
    <w:p>
      <w:pPr>
        <w:pStyle w:val="ListParagraph"/>
        <w:numPr>
          <w:ilvl w:val="0"/>
          <w:numId w:val="3"/>
        </w:numPr>
        <w:spacing w:after="80"/>
      </w:pPr>
      <w:r>
        <w:rPr>
          <w:sz w:val="19"/>
          <w:szCs w:val="19"/>
        </w:rPr>
        <w:t xml:space="preserve">BLGG AgroXpertus (Reijneveld A). 'Nutriëntentekort bodem steeds zichtbaarder' [Nährstoffmangel im Boden zunehmend sichtbar]: Auswirkung der verschärften Düngegesetzgebung (Minas) auf die Spurenelemente Zink, Eisen und Kupfer im Boden. Melkvee.nl. Verfügbar unter: https://melkvee.nl/artikel/48184-nutriententekort-bodem-steeds-zichtbaarder</w:t>
      </w:r>
    </w:p>
    <w:p>
      <w:pPr>
        <w:pStyle w:val="ListParagraph"/>
        <w:numPr>
          <w:ilvl w:val="0"/>
          <w:numId w:val="3"/>
        </w:numPr>
        <w:spacing w:after="80"/>
      </w:pPr>
      <w:r>
        <w:rPr>
          <w:sz w:val="19"/>
          <w:szCs w:val="19"/>
        </w:rPr>
        <w:t xml:space="preserve">Briland E, Kronqvist C. Magnesiumabsorption bei Milchvieh: durchschnittlicher Absorptionskoeffizient, Einfluss des Kalium/Magnesium-Verhältnisses und variable Qualität von Magnesiumoxid. Sveriges lantbruksuniversitet (SLU), Studentenbericht. Verfügbar unter: https://stud.epsilon.slu.se/12396/1/briland_e_kronqvist_c_171018.pdf</w:t>
      </w:r>
    </w:p>
    <w:p>
      <w:pPr>
        <w:pStyle w:val="ListParagraph"/>
        <w:numPr>
          <w:ilvl w:val="0"/>
          <w:numId w:val="3"/>
        </w:numPr>
        <w:spacing w:after="80"/>
      </w:pPr>
      <w:r>
        <w:rPr>
          <w:sz w:val="19"/>
          <w:szCs w:val="19"/>
        </w:rPr>
        <w:t xml:space="preserve">Landbrugsavisen. Sådan holder du køerne i balance med magnesium [Kühe mit Magnesium im Gleichgewicht halten]: Hemmung der Magnesiumaufnahme durch Kalium bereits bei 1–3 % Kalium in der Trockenmasse. Verfügbar unter: https://landbrugsavisen.dk/kvaeg/saadan-holder-du-koeerne-i-balance-med-magnesium-151779</w:t>
      </w:r>
    </w:p>
    <w:p>
      <w:pPr>
        <w:spacing w:before="400"/>
        <w:jc w:val="center"/>
      </w:pPr>
      <w:r>
        <w:rPr>
          <w:i/>
          <w:iCs/>
          <w:color w:val="666666"/>
          <w:sz w:val="18"/>
          <w:szCs w:val="18"/>
        </w:rPr>
        <w:t xml:space="preserve">Autor: H. Heida — Koolstofkring BV — Independent Practice Review — 16. September 2026</w:t>
      </w:r>
    </w:p>
    <w:sectPr>
      <w:headerReference w:type="default" r:id="rId7"/>
      <w:footerReference w:type="default" r:id="rId8"/>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Seite </w:t>
    </w:r>
    <w:r>
      <w:rPr>
        <w:color w:val="666666"/>
        <w:sz w:val="18"/>
        <w:szCs w:val="18"/>
      </w:rPr>
      <w:fldChar w:fldCharType="begin"/>
      <w:instrText xml:space="preserve">PAGE</w:instrText>
      <w:fldChar w:fldCharType="separate"/>
      <w:fldChar w:fldCharType="end"/>
    </w:r>
    <w:r>
      <w:rPr>
        <w:color w:val="666666"/>
        <w:sz w:val="18"/>
        <w:szCs w:val="18"/>
      </w:rPr>
      <w:t xml:space="preserve"> von </w:t>
    </w:r>
    <w:r>
      <w:rPr>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66666"/>
        <w:sz w:val="18"/>
        <w:szCs w:val="18"/>
      </w:rPr>
      <w:t xml:space="preserve">Koolstofkring BV — Immutines™ Praxisbericht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540" w:hanging="5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Calibri" w:cs="Calibri" w:eastAsia="Calibri" w:hAnsi="Calibri"/>
      <w:b/>
      <w:bCs/>
      <w:color w:val="1F3864"/>
      <w:sz w:val="30"/>
      <w:szCs w:val="30"/>
    </w:rPr>
  </w:style>
  <w:style w:type="paragraph" w:styleId="Heading2">
    <w:name w:val="Heading 2"/>
    <w:basedOn w:val="Normal"/>
    <w:next w:val="Normal"/>
    <w:qFormat/>
    <w:pPr>
      <w:spacing w:after="120" w:before="240"/>
      <w:outlineLvl w:val="1"/>
    </w:pPr>
    <w:rPr>
      <w:rFonts w:ascii="Calibri" w:cs="Calibri" w:eastAsia="Calibri" w:hAnsi="Calibri"/>
      <w:b/>
      <w:bCs/>
      <w:color w:val="2E5597"/>
      <w:sz w:val="25"/>
      <w:szCs w:val="25"/>
    </w:rPr>
  </w:style>
  <w:style w:type="paragraph" w:styleId="Heading3">
    <w:name w:val="Heading 3"/>
    <w:basedOn w:val="Normal"/>
    <w:next w:val="Normal"/>
    <w:qFormat/>
    <w:pPr>
      <w:spacing w:after="100" w:before="200"/>
      <w:outlineLvl w:val="2"/>
    </w:pPr>
    <w:rPr>
      <w:rFonts w:ascii="Calibri" w:cs="Calibri" w:eastAsia="Calibri" w:hAnsi="Calibri"/>
      <w:b/>
      <w:bCs/>
      <w:i/>
      <w:iCs/>
      <w:color w:val="2E559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2026-09-25T07:19:27.819Z</dcterms:created>
  <dcterms:modified xsi:type="dcterms:W3CDTF">2026-09-25T07:19:27.819Z</dcterms:modified>
</cp:coreProperties>
</file>

<file path=docProps/custom.xml><?xml version="1.0" encoding="utf-8"?>
<Properties xmlns="http://schemas.openxmlformats.org/officeDocument/2006/custom-properties" xmlns:vt="http://schemas.openxmlformats.org/officeDocument/2006/docPropsVTypes"/>
</file>